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31" w:rsidRPr="00913890" w:rsidRDefault="00B57931" w:rsidP="00B57931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08.10.2019.</w:t>
      </w:r>
    </w:p>
    <w:p w:rsidR="00B57931" w:rsidRPr="00A974F3" w:rsidRDefault="00B57931" w:rsidP="00B57931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B57931" w:rsidRPr="00070336" w:rsidRDefault="00B57931" w:rsidP="00B57931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B57931" w:rsidRDefault="00B57931" w:rsidP="00B57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931" w:rsidRDefault="00B57931" w:rsidP="005A73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p w:rsidR="00B57931" w:rsidRDefault="00B57931" w:rsidP="00B579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gada 8. oktobrī Ieslodzījuma vietu pārvalde un Centrālā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finanšu un līgumu aģentūra parakstīja Vienošanās Nr.4.2.1.2/18/I/006 Grozījumus Nr.1. Minētie grozījumi paredz Projekta finansējuma pieaugumu,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8"/>
        <w:gridCol w:w="2769"/>
      </w:tblGrid>
      <w:tr w:rsidR="00B57931" w:rsidTr="008C57C2">
        <w:tc>
          <w:tcPr>
            <w:tcW w:w="2831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sz w:val="24"/>
                <w:szCs w:val="24"/>
              </w:rPr>
              <w:t>Kopējais Projekta finansējums</w:t>
            </w:r>
          </w:p>
        </w:tc>
        <w:tc>
          <w:tcPr>
            <w:tcW w:w="2831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sz w:val="24"/>
                <w:szCs w:val="24"/>
              </w:rPr>
              <w:t>ES fonda finansējums</w:t>
            </w:r>
          </w:p>
        </w:tc>
        <w:tc>
          <w:tcPr>
            <w:tcW w:w="2832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sz w:val="24"/>
                <w:szCs w:val="24"/>
              </w:rPr>
              <w:t>Valsts budžeta finansējums</w:t>
            </w:r>
          </w:p>
        </w:tc>
      </w:tr>
      <w:tr w:rsidR="00B57931" w:rsidTr="008C57C2">
        <w:tc>
          <w:tcPr>
            <w:tcW w:w="2831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b/>
                <w:sz w:val="24"/>
                <w:szCs w:val="24"/>
              </w:rPr>
              <w:t>493 345.33 (100%)</w:t>
            </w:r>
          </w:p>
        </w:tc>
        <w:tc>
          <w:tcPr>
            <w:tcW w:w="2831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b/>
                <w:sz w:val="24"/>
                <w:szCs w:val="24"/>
              </w:rPr>
              <w:t>419 343.53 (85%)</w:t>
            </w:r>
          </w:p>
        </w:tc>
        <w:tc>
          <w:tcPr>
            <w:tcW w:w="2832" w:type="dxa"/>
          </w:tcPr>
          <w:p w:rsidR="00B57931" w:rsidRPr="004D6888" w:rsidRDefault="00B57931" w:rsidP="008C57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88">
              <w:rPr>
                <w:rFonts w:ascii="Times New Roman" w:hAnsi="Times New Roman" w:cs="Times New Roman"/>
                <w:b/>
                <w:sz w:val="24"/>
                <w:szCs w:val="24"/>
              </w:rPr>
              <w:t>74 001.80 (15%)</w:t>
            </w:r>
          </w:p>
        </w:tc>
      </w:tr>
    </w:tbl>
    <w:p w:rsidR="00B57931" w:rsidRDefault="00B57931" w:rsidP="00B579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31" w:rsidRDefault="00B57931" w:rsidP="00B579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 arī Projekta īstenošanas ilguma pagarinājumu – 32 mēneši.</w:t>
      </w:r>
    </w:p>
    <w:p w:rsidR="00B57931" w:rsidRDefault="00B57931" w:rsidP="00B57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7931" w:rsidRPr="00064156" w:rsidRDefault="00B57931" w:rsidP="00B57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7931" w:rsidRDefault="00B57931" w:rsidP="00B57931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404C848C" wp14:editId="5285CA7F">
            <wp:extent cx="5523016" cy="1140100"/>
            <wp:effectExtent l="0" t="0" r="1905" b="3175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31" w:rsidRDefault="00B57931" w:rsidP="00B57931">
      <w:pPr>
        <w:rPr>
          <w:rFonts w:ascii="Arial" w:hAnsi="Arial" w:cs="Arial"/>
          <w:noProof/>
          <w:sz w:val="28"/>
          <w:szCs w:val="28"/>
          <w:lang w:eastAsia="lv-LV"/>
        </w:rPr>
      </w:pPr>
    </w:p>
    <w:p w:rsidR="007E5E75" w:rsidRDefault="007E5E75"/>
    <w:sectPr w:rsidR="007E5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31"/>
    <w:rsid w:val="005A7319"/>
    <w:rsid w:val="007E5E75"/>
    <w:rsid w:val="00B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1113-625D-416B-B1F7-59F18DE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793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2</cp:revision>
  <dcterms:created xsi:type="dcterms:W3CDTF">2020-12-17T08:04:00Z</dcterms:created>
  <dcterms:modified xsi:type="dcterms:W3CDTF">2020-12-17T08:40:00Z</dcterms:modified>
</cp:coreProperties>
</file>