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2E" w:rsidRDefault="001F4F76" w:rsidP="00DB426F">
      <w:pPr>
        <w:tabs>
          <w:tab w:val="left" w:pos="993"/>
        </w:tabs>
        <w:spacing w:after="0" w:line="240" w:lineRule="auto"/>
        <w:ind w:right="84"/>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 </w:t>
      </w:r>
    </w:p>
    <w:p w:rsidR="00CA6F2E" w:rsidRPr="006F0025" w:rsidRDefault="00CA6F2E" w:rsidP="001F4F76">
      <w:pPr>
        <w:tabs>
          <w:tab w:val="left" w:pos="993"/>
        </w:tabs>
        <w:spacing w:after="0" w:line="240" w:lineRule="auto"/>
        <w:ind w:left="426" w:right="84"/>
        <w:jc w:val="center"/>
        <w:rPr>
          <w:rFonts w:ascii="Times New Roman" w:eastAsia="Times New Roman" w:hAnsi="Times New Roman" w:cs="Times New Roman"/>
          <w:sz w:val="24"/>
          <w:szCs w:val="24"/>
        </w:rPr>
      </w:pP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Eiropas Sociālā fonda projektu </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“Bijušo ieslodzīto integrācija sabiedrībā un darba tirgū” (ID Nr.:9.1.2.0/16/I/001) </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un</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sz w:val="24"/>
          <w:szCs w:val="24"/>
        </w:rPr>
        <w:t xml:space="preserve"> “Resocializācijas sistēmas efektivitātes paaugstināšana” (ID Nr.:9.1.3.0/16/I/001</w:t>
      </w:r>
      <w:r w:rsidR="00E40449" w:rsidRPr="006F0025">
        <w:rPr>
          <w:rFonts w:ascii="Times New Roman" w:eastAsia="Times New Roman" w:hAnsi="Times New Roman" w:cs="Times New Roman"/>
          <w:sz w:val="24"/>
          <w:szCs w:val="24"/>
        </w:rPr>
        <w:t>)</w:t>
      </w: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bCs/>
          <w:sz w:val="24"/>
          <w:szCs w:val="24"/>
        </w:rPr>
        <w:t xml:space="preserve">ietvaros </w:t>
      </w:r>
    </w:p>
    <w:p w:rsidR="001F4F76" w:rsidRPr="006F0025" w:rsidRDefault="001F4F76" w:rsidP="001F4F76">
      <w:pPr>
        <w:tabs>
          <w:tab w:val="left" w:pos="993"/>
        </w:tabs>
        <w:spacing w:after="0" w:line="240" w:lineRule="auto"/>
        <w:ind w:right="84"/>
        <w:rPr>
          <w:rFonts w:ascii="Times New Roman" w:eastAsia="Times New Roman" w:hAnsi="Times New Roman" w:cs="Times New Roman"/>
          <w:bCs/>
          <w:sz w:val="24"/>
          <w:szCs w:val="24"/>
        </w:rPr>
      </w:pPr>
    </w:p>
    <w:p w:rsidR="001F4F76" w:rsidRPr="006F0025" w:rsidRDefault="001F4F76" w:rsidP="001F4F76">
      <w:pPr>
        <w:tabs>
          <w:tab w:val="left" w:pos="993"/>
        </w:tabs>
        <w:spacing w:after="0" w:line="240" w:lineRule="auto"/>
        <w:ind w:left="426" w:right="84"/>
        <w:jc w:val="center"/>
        <w:rPr>
          <w:rFonts w:ascii="Times New Roman" w:eastAsia="Times New Roman" w:hAnsi="Times New Roman" w:cs="Times New Roman"/>
          <w:bCs/>
          <w:sz w:val="24"/>
          <w:szCs w:val="24"/>
        </w:rPr>
      </w:pPr>
      <w:r w:rsidRPr="006F0025">
        <w:rPr>
          <w:rFonts w:ascii="Times New Roman" w:eastAsia="Times New Roman" w:hAnsi="Times New Roman" w:cs="Times New Roman"/>
          <w:bCs/>
          <w:sz w:val="24"/>
          <w:szCs w:val="24"/>
        </w:rPr>
        <w:t>Ieslodzījuma vietu pārvaldes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Atklātas procedūras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bookmarkStart w:id="0" w:name="_Hlk505158468"/>
      <w:r w:rsidRPr="006F0025">
        <w:rPr>
          <w:rFonts w:ascii="Times New Roman" w:eastAsia="Times New Roman" w:hAnsi="Times New Roman" w:cs="Times New Roman"/>
          <w:sz w:val="24"/>
          <w:szCs w:val="24"/>
        </w:rPr>
        <w:t>“Semināru norises un viesnīcu nodrošināšanas pakalpojumi</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(ēdināšanas pakalpojumi, telpu noma, naktsmītnes)”</w:t>
      </w:r>
    </w:p>
    <w:p w:rsidR="00DE71BF" w:rsidRPr="006F0025" w:rsidRDefault="00DE71BF"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 (iepirkuma identifikācijas numurs IeVP 2018/</w:t>
      </w:r>
      <w:r w:rsidR="00912594">
        <w:rPr>
          <w:rFonts w:ascii="Times New Roman" w:eastAsia="Times New Roman" w:hAnsi="Times New Roman" w:cs="Times New Roman"/>
          <w:sz w:val="24"/>
          <w:szCs w:val="24"/>
        </w:rPr>
        <w:t>35</w:t>
      </w:r>
      <w:r w:rsidRPr="006F0025">
        <w:rPr>
          <w:rFonts w:ascii="Times New Roman" w:eastAsia="Times New Roman" w:hAnsi="Times New Roman" w:cs="Times New Roman"/>
          <w:sz w:val="24"/>
          <w:szCs w:val="24"/>
        </w:rPr>
        <w:t>/ESF)</w:t>
      </w:r>
    </w:p>
    <w:bookmarkEnd w:id="0"/>
    <w:p w:rsidR="001F4F76" w:rsidRPr="006F0025" w:rsidRDefault="001F4F76" w:rsidP="00DE71BF">
      <w:pPr>
        <w:spacing w:after="0" w:line="240" w:lineRule="auto"/>
        <w:ind w:right="43"/>
        <w:jc w:val="center"/>
        <w:rPr>
          <w:rFonts w:ascii="Times New Roman" w:eastAsia="Times New Roman" w:hAnsi="Times New Roman" w:cs="Times New Roman"/>
          <w:sz w:val="24"/>
          <w:szCs w:val="24"/>
        </w:rPr>
      </w:pPr>
      <w:r w:rsidRPr="006F0025">
        <w:rPr>
          <w:rFonts w:ascii="Times New Roman" w:eastAsia="Times New Roman" w:hAnsi="Times New Roman" w:cs="Times New Roman"/>
          <w:sz w:val="24"/>
          <w:szCs w:val="24"/>
        </w:rPr>
        <w:t xml:space="preserve">Vērtēšanas </w:t>
      </w:r>
      <w:smartTag w:uri="schemas-tilde-lv/tildestengine" w:element="veidnes">
        <w:smartTagPr>
          <w:attr w:name="id" w:val="-1"/>
          <w:attr w:name="baseform" w:val="protokols"/>
          <w:attr w:name="text" w:val="protokols"/>
        </w:smartTagPr>
        <w:r w:rsidRPr="006F0025">
          <w:rPr>
            <w:rFonts w:ascii="Times New Roman" w:eastAsia="Times New Roman" w:hAnsi="Times New Roman" w:cs="Times New Roman"/>
            <w:sz w:val="24"/>
            <w:szCs w:val="24"/>
          </w:rPr>
          <w:t>protokols</w:t>
        </w:r>
      </w:smartTag>
      <w:r w:rsidRPr="006F0025">
        <w:rPr>
          <w:rFonts w:ascii="Times New Roman" w:eastAsia="Times New Roman" w:hAnsi="Times New Roman" w:cs="Times New Roman"/>
          <w:sz w:val="24"/>
          <w:szCs w:val="24"/>
        </w:rPr>
        <w:t xml:space="preserve"> Nr.</w:t>
      </w:r>
      <w:r w:rsidR="00D06B39" w:rsidRPr="006F0025">
        <w:rPr>
          <w:rFonts w:ascii="Times New Roman" w:eastAsia="Times New Roman" w:hAnsi="Times New Roman" w:cs="Times New Roman"/>
          <w:sz w:val="24"/>
          <w:szCs w:val="24"/>
        </w:rPr>
        <w:t>201</w:t>
      </w:r>
      <w:r w:rsidR="00DE71BF" w:rsidRPr="006F0025">
        <w:rPr>
          <w:rFonts w:ascii="Times New Roman" w:eastAsia="Times New Roman" w:hAnsi="Times New Roman" w:cs="Times New Roman"/>
          <w:sz w:val="24"/>
          <w:szCs w:val="24"/>
        </w:rPr>
        <w:t>8/</w:t>
      </w:r>
      <w:r w:rsidR="00912594">
        <w:rPr>
          <w:rFonts w:ascii="Times New Roman" w:eastAsia="Times New Roman" w:hAnsi="Times New Roman" w:cs="Times New Roman"/>
          <w:sz w:val="24"/>
          <w:szCs w:val="24"/>
        </w:rPr>
        <w:t>35</w:t>
      </w:r>
      <w:r w:rsidR="00DE71BF" w:rsidRPr="006F0025">
        <w:rPr>
          <w:rFonts w:ascii="Times New Roman" w:eastAsia="Times New Roman" w:hAnsi="Times New Roman" w:cs="Times New Roman"/>
          <w:sz w:val="24"/>
          <w:szCs w:val="24"/>
        </w:rPr>
        <w:t>/ESF/</w:t>
      </w:r>
      <w:r w:rsidR="0034457B">
        <w:rPr>
          <w:rFonts w:ascii="Times New Roman" w:eastAsia="Times New Roman" w:hAnsi="Times New Roman" w:cs="Times New Roman"/>
          <w:sz w:val="24"/>
          <w:szCs w:val="24"/>
        </w:rPr>
        <w:t>5</w:t>
      </w:r>
    </w:p>
    <w:p w:rsidR="004E528A" w:rsidRPr="00147A00" w:rsidRDefault="004E528A" w:rsidP="008E03AB">
      <w:pPr>
        <w:spacing w:after="0" w:line="240" w:lineRule="auto"/>
        <w:ind w:right="-17"/>
        <w:rPr>
          <w:rFonts w:ascii="Times New Roman" w:hAnsi="Times New Roman" w:cs="Times New Roman"/>
          <w:b/>
          <w:sz w:val="24"/>
          <w:szCs w:val="24"/>
        </w:rPr>
      </w:pPr>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4E528A" w:rsidRPr="00147A00" w:rsidRDefault="004E528A" w:rsidP="00991507">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 xml:space="preserve">Rīgā </w:t>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4F76">
        <w:rPr>
          <w:rFonts w:ascii="Times New Roman" w:hAnsi="Times New Roman" w:cs="Times New Roman"/>
          <w:sz w:val="24"/>
          <w:szCs w:val="24"/>
        </w:rPr>
        <w:t>201</w:t>
      </w:r>
      <w:r w:rsidR="00DE71BF">
        <w:rPr>
          <w:rFonts w:ascii="Times New Roman" w:hAnsi="Times New Roman" w:cs="Times New Roman"/>
          <w:sz w:val="24"/>
          <w:szCs w:val="24"/>
        </w:rPr>
        <w:t>8</w:t>
      </w:r>
      <w:r w:rsidR="001F4F76">
        <w:rPr>
          <w:rFonts w:ascii="Times New Roman" w:hAnsi="Times New Roman" w:cs="Times New Roman"/>
          <w:sz w:val="24"/>
          <w:szCs w:val="24"/>
        </w:rPr>
        <w:t>. gad</w:t>
      </w:r>
      <w:r w:rsidR="00DE71BF">
        <w:rPr>
          <w:rFonts w:ascii="Times New Roman" w:hAnsi="Times New Roman" w:cs="Times New Roman"/>
          <w:sz w:val="24"/>
          <w:szCs w:val="24"/>
        </w:rPr>
        <w:t xml:space="preserve">a </w:t>
      </w:r>
      <w:proofErr w:type="gramStart"/>
      <w:r w:rsidR="00C5116E">
        <w:rPr>
          <w:rFonts w:ascii="Times New Roman" w:hAnsi="Times New Roman" w:cs="Times New Roman"/>
          <w:sz w:val="24"/>
          <w:szCs w:val="24"/>
        </w:rPr>
        <w:t>21</w:t>
      </w:r>
      <w:r w:rsidR="00912594">
        <w:rPr>
          <w:rFonts w:ascii="Times New Roman" w:hAnsi="Times New Roman" w:cs="Times New Roman"/>
          <w:sz w:val="24"/>
          <w:szCs w:val="24"/>
        </w:rPr>
        <w:t>.</w:t>
      </w:r>
      <w:r w:rsidR="0034457B">
        <w:rPr>
          <w:rFonts w:ascii="Times New Roman" w:hAnsi="Times New Roman" w:cs="Times New Roman"/>
          <w:sz w:val="24"/>
          <w:szCs w:val="24"/>
        </w:rPr>
        <w:t>maijā</w:t>
      </w:r>
      <w:proofErr w:type="gramEnd"/>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FA4F6E" w:rsidRDefault="00DE71BF" w:rsidP="00582655">
      <w:pPr>
        <w:spacing w:after="0" w:line="240" w:lineRule="auto"/>
        <w:ind w:right="-17"/>
        <w:jc w:val="both"/>
        <w:rPr>
          <w:rFonts w:ascii="Times New Roman" w:hAnsi="Times New Roman" w:cs="Times New Roman"/>
          <w:sz w:val="24"/>
          <w:szCs w:val="24"/>
        </w:rPr>
      </w:pPr>
      <w:r w:rsidRPr="00DE71BF">
        <w:rPr>
          <w:rFonts w:ascii="Times New Roman" w:hAnsi="Times New Roman" w:cs="Times New Roman"/>
          <w:sz w:val="24"/>
          <w:szCs w:val="24"/>
        </w:rPr>
        <w:t>Ar</w:t>
      </w:r>
      <w:proofErr w:type="gramStart"/>
      <w:r w:rsidRPr="00DE71BF">
        <w:rPr>
          <w:rFonts w:ascii="Times New Roman" w:hAnsi="Times New Roman" w:cs="Times New Roman"/>
          <w:sz w:val="24"/>
          <w:szCs w:val="24"/>
        </w:rPr>
        <w:t xml:space="preserve">  </w:t>
      </w:r>
      <w:proofErr w:type="gramEnd"/>
      <w:r w:rsidRPr="00DE71BF">
        <w:rPr>
          <w:rFonts w:ascii="Times New Roman" w:hAnsi="Times New Roman" w:cs="Times New Roman"/>
          <w:sz w:val="24"/>
          <w:szCs w:val="24"/>
        </w:rPr>
        <w:t xml:space="preserve">Ieslodzījuma vietu pārvaldes (turpmāk – Pasūtītājs) priekšnieka 2018.gada </w:t>
      </w:r>
      <w:r w:rsidR="00912594">
        <w:rPr>
          <w:rFonts w:ascii="Times New Roman" w:hAnsi="Times New Roman" w:cs="Times New Roman"/>
          <w:sz w:val="24"/>
          <w:szCs w:val="24"/>
        </w:rPr>
        <w:t>2</w:t>
      </w:r>
      <w:r w:rsidRPr="00DE71BF">
        <w:rPr>
          <w:rFonts w:ascii="Times New Roman" w:hAnsi="Times New Roman" w:cs="Times New Roman"/>
          <w:sz w:val="24"/>
          <w:szCs w:val="24"/>
        </w:rPr>
        <w:t xml:space="preserve">.janvāra rīkojumu Nr. 2 "Par iepirkumu komisijas izveidošanu" izveidotās iepirkumu komisijas sēdē </w:t>
      </w:r>
      <w:r w:rsidRPr="00C5116E">
        <w:rPr>
          <w:rFonts w:ascii="Times New Roman" w:hAnsi="Times New Roman" w:cs="Times New Roman"/>
          <w:sz w:val="24"/>
          <w:szCs w:val="24"/>
        </w:rPr>
        <w:t>plkst.</w:t>
      </w:r>
      <w:r w:rsidR="00DA3C9F" w:rsidRPr="00C5116E">
        <w:rPr>
          <w:rFonts w:ascii="Times New Roman" w:hAnsi="Times New Roman" w:cs="Times New Roman"/>
          <w:sz w:val="24"/>
          <w:szCs w:val="24"/>
        </w:rPr>
        <w:t xml:space="preserve"> </w:t>
      </w:r>
      <w:r w:rsidR="00C5116E">
        <w:rPr>
          <w:rFonts w:ascii="Times New Roman" w:hAnsi="Times New Roman" w:cs="Times New Roman"/>
          <w:sz w:val="24"/>
          <w:szCs w:val="24"/>
        </w:rPr>
        <w:t>9.00</w:t>
      </w:r>
      <w:r w:rsidRPr="00C5116E">
        <w:rPr>
          <w:rFonts w:ascii="Times New Roman" w:hAnsi="Times New Roman" w:cs="Times New Roman"/>
          <w:sz w:val="24"/>
          <w:szCs w:val="24"/>
        </w:rPr>
        <w:t>,</w:t>
      </w:r>
      <w:r w:rsidRPr="00DE71BF">
        <w:rPr>
          <w:rFonts w:ascii="Times New Roman" w:hAnsi="Times New Roman" w:cs="Times New Roman"/>
          <w:sz w:val="24"/>
          <w:szCs w:val="24"/>
        </w:rPr>
        <w:t xml:space="preserve"> Stabu ielā 89, Rīgā, LV-1009, </w:t>
      </w:r>
      <w:r w:rsidR="00B402A8" w:rsidRPr="00C5116E">
        <w:rPr>
          <w:rFonts w:ascii="Times New Roman" w:hAnsi="Times New Roman" w:cs="Times New Roman"/>
          <w:sz w:val="24"/>
          <w:szCs w:val="24"/>
        </w:rPr>
        <w:t>622.</w:t>
      </w:r>
      <w:r w:rsidRPr="00C5116E">
        <w:rPr>
          <w:rFonts w:ascii="Times New Roman" w:hAnsi="Times New Roman" w:cs="Times New Roman"/>
          <w:sz w:val="24"/>
          <w:szCs w:val="24"/>
        </w:rPr>
        <w:t>kabinetā,</w:t>
      </w:r>
      <w:r w:rsidRPr="00DE71BF">
        <w:rPr>
          <w:rFonts w:ascii="Times New Roman" w:hAnsi="Times New Roman" w:cs="Times New Roman"/>
          <w:sz w:val="24"/>
          <w:szCs w:val="24"/>
        </w:rPr>
        <w:t xml:space="preserve"> piedalās: </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Iepirkumu komisijas priekšsēdētājs:</w:t>
      </w:r>
      <w:r w:rsidRPr="00DE71BF">
        <w:rPr>
          <w:rFonts w:ascii="Times New Roman" w:eastAsia="Times New Roman" w:hAnsi="Times New Roman" w:cs="Times New Roman"/>
          <w:sz w:val="24"/>
          <w:szCs w:val="24"/>
        </w:rPr>
        <w:t xml:space="preserve"> Eiropas Sociālā fonda projekta Nr.9.1.2.0/16/I/001 "Bijušo ieslodzīto integrācija sabiedrībā un darba tirgū" un projekta Nr.9.1.3.0/16/I/001 "Resocializācijas sistēmas efektivitātes paaugstināšana" vadītājs Māris Luste</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Iepirkumu komisijas priekšsēdētāja vietniece:</w:t>
      </w:r>
      <w:r w:rsidRPr="00DE71BF">
        <w:rPr>
          <w:rFonts w:ascii="Times New Roman" w:eastAsia="Times New Roman" w:hAnsi="Times New Roman" w:cs="Times New Roman"/>
          <w:sz w:val="24"/>
          <w:szCs w:val="24"/>
        </w:rPr>
        <w:t xml:space="preserve"> Pārvaldes centrālā aparāta Finanšu vadības un kontroles daļas vadītāja </w:t>
      </w:r>
      <w:r w:rsidR="0034457B">
        <w:rPr>
          <w:rFonts w:ascii="Times New Roman" w:eastAsia="Times New Roman" w:hAnsi="Times New Roman" w:cs="Times New Roman"/>
          <w:sz w:val="24"/>
          <w:szCs w:val="24"/>
        </w:rPr>
        <w:t>majore</w:t>
      </w:r>
      <w:r w:rsidRPr="00DE71BF">
        <w:rPr>
          <w:rFonts w:ascii="Times New Roman" w:eastAsia="Times New Roman" w:hAnsi="Times New Roman" w:cs="Times New Roman"/>
          <w:sz w:val="24"/>
          <w:szCs w:val="24"/>
        </w:rPr>
        <w:t xml:space="preserve"> Inesa Mališeva</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DE71BF" w:rsidRPr="00DE71BF" w:rsidRDefault="00DE71BF" w:rsidP="00DE71BF">
      <w:pPr>
        <w:spacing w:after="0" w:line="240" w:lineRule="auto"/>
        <w:jc w:val="both"/>
        <w:rPr>
          <w:rFonts w:ascii="Times New Roman" w:eastAsia="Times New Roman" w:hAnsi="Times New Roman" w:cs="Times New Roman"/>
          <w:b/>
          <w:sz w:val="24"/>
          <w:szCs w:val="24"/>
          <w:u w:val="single"/>
        </w:rPr>
      </w:pPr>
      <w:r w:rsidRPr="00DE71BF">
        <w:rPr>
          <w:rFonts w:ascii="Times New Roman" w:eastAsia="Times New Roman" w:hAnsi="Times New Roman" w:cs="Times New Roman"/>
          <w:b/>
          <w:sz w:val="24"/>
          <w:szCs w:val="24"/>
          <w:u w:val="single"/>
        </w:rPr>
        <w:t>Iepirkumu komisijas locekļi:</w:t>
      </w:r>
    </w:p>
    <w:p w:rsidR="00DE71BF" w:rsidRPr="00DE71BF" w:rsidRDefault="0034457B" w:rsidP="00DE71BF">
      <w:pPr>
        <w:spacing w:after="0" w:line="240" w:lineRule="auto"/>
        <w:jc w:val="both"/>
        <w:rPr>
          <w:rFonts w:ascii="Times New Roman" w:eastAsia="Times New Roman" w:hAnsi="Times New Roman" w:cs="Times New Roman"/>
          <w:sz w:val="24"/>
          <w:szCs w:val="24"/>
        </w:rPr>
      </w:pPr>
      <w:r w:rsidRPr="00BE5E10">
        <w:rPr>
          <w:rFonts w:ascii="Times New Roman" w:eastAsia="Times New Roman" w:hAnsi="Times New Roman" w:cs="Times New Roman"/>
          <w:sz w:val="24"/>
          <w:szCs w:val="24"/>
        </w:rPr>
        <w:t>Eiropas Sociālā fonda projekta Nr.9.1.3.0/16/I/001 "Resocializācijas sistēmas efektivitātes paaugstināšana" Mācību sistēmas pilnveidošanas bloka vadītāja Daina Vanaga;</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 xml:space="preserve">Eiropas Sociālā fonda projekta Nr.9.1.2.0/16/I/001 "Bijušo ieslodzīto integrācija sabiedrībā un darba tirgū" Atbalsts klientiem un viņu ģimenēm projekta bloka vadītājs Jānis </w:t>
      </w:r>
      <w:proofErr w:type="spellStart"/>
      <w:r w:rsidRPr="00DE71BF">
        <w:rPr>
          <w:rFonts w:ascii="Times New Roman" w:eastAsia="Times New Roman" w:hAnsi="Times New Roman" w:cs="Times New Roman"/>
          <w:sz w:val="24"/>
          <w:szCs w:val="24"/>
        </w:rPr>
        <w:t>Nicmanis</w:t>
      </w:r>
      <w:proofErr w:type="spellEnd"/>
      <w:r w:rsidRPr="00DE71BF">
        <w:rPr>
          <w:rFonts w:ascii="Times New Roman" w:eastAsia="Times New Roman" w:hAnsi="Times New Roman" w:cs="Times New Roman"/>
          <w:sz w:val="24"/>
          <w:szCs w:val="24"/>
        </w:rPr>
        <w:t>;</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Nr.9.1.2.0/16/I/001 "Bijušo ieslodzīto integrācija sabiedrībā un darba tirgū" un projekta Nr.9.1.3.0/16/I/001 "Resocializācijas sistēmas efektivitātes paaugstināšana" juriste Aiga Graudiņa;</w:t>
      </w:r>
    </w:p>
    <w:p w:rsidR="00DE71BF" w:rsidRPr="00DE71BF" w:rsidRDefault="00DE71BF" w:rsidP="00DE71BF">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sz w:val="24"/>
          <w:szCs w:val="24"/>
        </w:rPr>
        <w:t>Eiropas Sociālā fonda projekta Nr.9.1.2.0/16/I/001 "Bijušo ieslodzīto integrācija sabiedrībā un darba tirgū" un projekta Nr.9.1.3.0/16/I/001 "Resocializācijas sistēmas efektivitātes paaugstināšana" juriste Una Asariņa.</w:t>
      </w:r>
    </w:p>
    <w:p w:rsidR="00DE71BF" w:rsidRPr="00DE71BF" w:rsidRDefault="00DE71BF" w:rsidP="00DE71BF">
      <w:pPr>
        <w:spacing w:after="0" w:line="240" w:lineRule="auto"/>
        <w:jc w:val="both"/>
        <w:rPr>
          <w:rFonts w:ascii="Times New Roman" w:eastAsia="Times New Roman" w:hAnsi="Times New Roman" w:cs="Times New Roman"/>
          <w:sz w:val="24"/>
          <w:szCs w:val="24"/>
        </w:rPr>
      </w:pPr>
    </w:p>
    <w:p w:rsidR="00CF1DA6" w:rsidRPr="00B13DFC" w:rsidRDefault="00DE71BF" w:rsidP="00B13DFC">
      <w:pPr>
        <w:spacing w:after="0" w:line="240" w:lineRule="auto"/>
        <w:jc w:val="both"/>
        <w:rPr>
          <w:rFonts w:ascii="Times New Roman" w:eastAsia="Times New Roman" w:hAnsi="Times New Roman" w:cs="Times New Roman"/>
          <w:sz w:val="24"/>
          <w:szCs w:val="24"/>
        </w:rPr>
      </w:pPr>
      <w:r w:rsidRPr="00DE71BF">
        <w:rPr>
          <w:rFonts w:ascii="Times New Roman" w:eastAsia="Times New Roman" w:hAnsi="Times New Roman" w:cs="Times New Roman"/>
          <w:b/>
          <w:sz w:val="24"/>
          <w:szCs w:val="24"/>
          <w:u w:val="single"/>
        </w:rPr>
        <w:t>Protokolē:</w:t>
      </w:r>
      <w:r w:rsidRPr="00DE71BF">
        <w:rPr>
          <w:rFonts w:ascii="Times New Roman" w:eastAsia="Times New Roman" w:hAnsi="Times New Roman" w:cs="Times New Roman"/>
          <w:sz w:val="24"/>
          <w:szCs w:val="24"/>
        </w:rPr>
        <w:t xml:space="preserve"> Eiropas Sociālā fonda projekta Nr.9.1.2.0/16/I/001 "Bijušo ieslodzīto integrācija sabiedrībā un darba tirgū" un projekta Nr.9.1.3.0/16/I/001 "Resocializācijas sistēmas efektivitātes paaugstināšana" juriste Aiga Graudiņa;</w:t>
      </w:r>
    </w:p>
    <w:p w:rsidR="00CF1DA6" w:rsidRDefault="008E03AB" w:rsidP="00CF1DA6">
      <w:pPr>
        <w:spacing w:before="120" w:after="0" w:line="240" w:lineRule="auto"/>
        <w:ind w:right="45"/>
        <w:jc w:val="both"/>
        <w:rPr>
          <w:rFonts w:ascii="Times New Roman" w:eastAsia="Times New Roman" w:hAnsi="Times New Roman" w:cs="Times New Roman"/>
          <w:b/>
          <w:sz w:val="24"/>
          <w:szCs w:val="24"/>
        </w:rPr>
      </w:pPr>
      <w:r w:rsidRPr="008E03AB">
        <w:rPr>
          <w:rFonts w:ascii="Times New Roman" w:eastAsia="Times New Roman" w:hAnsi="Times New Roman" w:cs="Times New Roman"/>
          <w:b/>
          <w:sz w:val="24"/>
          <w:szCs w:val="24"/>
        </w:rPr>
        <w:t>Darba kārtības jautājumi:</w:t>
      </w:r>
      <w:r w:rsidR="00CF1DA6">
        <w:rPr>
          <w:rFonts w:ascii="Times New Roman" w:eastAsia="Times New Roman" w:hAnsi="Times New Roman" w:cs="Times New Roman"/>
          <w:b/>
          <w:sz w:val="24"/>
          <w:szCs w:val="24"/>
        </w:rPr>
        <w:t xml:space="preserve"> </w:t>
      </w:r>
    </w:p>
    <w:p w:rsidR="008E03AB" w:rsidRPr="00DE71BF" w:rsidRDefault="008E03AB" w:rsidP="00CF1DA6">
      <w:pPr>
        <w:spacing w:before="120" w:after="0" w:line="240" w:lineRule="auto"/>
        <w:ind w:right="45"/>
        <w:jc w:val="both"/>
        <w:rPr>
          <w:rFonts w:ascii="Times New Roman" w:eastAsia="Times New Roman" w:hAnsi="Times New Roman" w:cs="Times New Roman"/>
          <w:sz w:val="24"/>
          <w:szCs w:val="24"/>
        </w:rPr>
      </w:pPr>
      <w:r w:rsidRPr="008E03AB">
        <w:rPr>
          <w:rFonts w:ascii="Times New Roman" w:eastAsia="Times New Roman" w:hAnsi="Times New Roman" w:cs="Times New Roman"/>
          <w:sz w:val="24"/>
          <w:szCs w:val="24"/>
        </w:rPr>
        <w:t xml:space="preserve">Iepirkuma </w:t>
      </w:r>
      <w:r w:rsidR="00DE71BF" w:rsidRPr="00DE71BF">
        <w:rPr>
          <w:rFonts w:ascii="Times New Roman" w:eastAsia="Times New Roman" w:hAnsi="Times New Roman" w:cs="Times New Roman"/>
          <w:sz w:val="24"/>
          <w:szCs w:val="24"/>
        </w:rPr>
        <w:t>“Semināru norises un viesnīcu nodrošināšanas pakalpojumi</w:t>
      </w:r>
      <w:r w:rsidR="00DE71BF">
        <w:rPr>
          <w:rFonts w:ascii="Times New Roman" w:eastAsia="Times New Roman" w:hAnsi="Times New Roman" w:cs="Times New Roman"/>
          <w:sz w:val="24"/>
          <w:szCs w:val="24"/>
        </w:rPr>
        <w:t xml:space="preserve"> </w:t>
      </w:r>
      <w:r w:rsidR="00DE71BF" w:rsidRPr="00DE71BF">
        <w:rPr>
          <w:rFonts w:ascii="Times New Roman" w:eastAsia="Times New Roman" w:hAnsi="Times New Roman" w:cs="Times New Roman"/>
          <w:sz w:val="24"/>
          <w:szCs w:val="24"/>
        </w:rPr>
        <w:t>(ēdināšanas pakalpojumi, telpu noma, naktsmītnes)” (iepirkuma identifikācijas numurs IeVP 2018/</w:t>
      </w:r>
      <w:r w:rsidR="00912594">
        <w:rPr>
          <w:rFonts w:ascii="Times New Roman" w:eastAsia="Times New Roman" w:hAnsi="Times New Roman" w:cs="Times New Roman"/>
          <w:sz w:val="24"/>
          <w:szCs w:val="24"/>
        </w:rPr>
        <w:t>35</w:t>
      </w:r>
      <w:r w:rsidR="00DE71BF" w:rsidRPr="00DE71BF">
        <w:rPr>
          <w:rFonts w:ascii="Times New Roman" w:eastAsia="Times New Roman" w:hAnsi="Times New Roman" w:cs="Times New Roman"/>
          <w:sz w:val="24"/>
          <w:szCs w:val="24"/>
        </w:rPr>
        <w:t>/ESF)</w:t>
      </w:r>
      <w:r w:rsidR="00DE71BF">
        <w:rPr>
          <w:rFonts w:ascii="Times New Roman" w:eastAsia="Times New Roman" w:hAnsi="Times New Roman" w:cs="Times New Roman"/>
          <w:sz w:val="24"/>
          <w:szCs w:val="24"/>
        </w:rPr>
        <w:t xml:space="preserve"> </w:t>
      </w:r>
      <w:r w:rsidR="0034457B">
        <w:rPr>
          <w:rFonts w:ascii="Times New Roman" w:eastAsia="Times New Roman" w:hAnsi="Times New Roman" w:cs="Times New Roman"/>
          <w:sz w:val="24"/>
          <w:szCs w:val="24"/>
        </w:rPr>
        <w:t xml:space="preserve">(turpmāk – Iepirkums) </w:t>
      </w:r>
      <w:r w:rsidRPr="008E03AB">
        <w:rPr>
          <w:rFonts w:ascii="Times New Roman" w:eastAsia="Times New Roman" w:hAnsi="Times New Roman" w:cs="Times New Roman"/>
          <w:sz w:val="24"/>
          <w:szCs w:val="24"/>
        </w:rPr>
        <w:t>piedāvājumu vērtēšana.</w:t>
      </w:r>
    </w:p>
    <w:p w:rsidR="00351852" w:rsidRDefault="00351852" w:rsidP="00351852">
      <w:pPr>
        <w:spacing w:after="0" w:line="240" w:lineRule="auto"/>
        <w:ind w:right="-17"/>
        <w:jc w:val="both"/>
        <w:rPr>
          <w:rFonts w:ascii="Times New Roman" w:hAnsi="Times New Roman" w:cs="Times New Roman"/>
          <w:sz w:val="24"/>
          <w:szCs w:val="24"/>
        </w:rPr>
      </w:pPr>
    </w:p>
    <w:p w:rsidR="00DF6F31" w:rsidRDefault="00DF6F31" w:rsidP="00351852">
      <w:pPr>
        <w:spacing w:after="0" w:line="240" w:lineRule="auto"/>
        <w:ind w:right="-17"/>
        <w:jc w:val="both"/>
        <w:rPr>
          <w:rFonts w:ascii="Times New Roman" w:hAnsi="Times New Roman" w:cs="Times New Roman"/>
          <w:sz w:val="24"/>
          <w:szCs w:val="24"/>
        </w:rPr>
      </w:pPr>
    </w:p>
    <w:p w:rsidR="00DF6F31" w:rsidRDefault="00DF6F31" w:rsidP="00351852">
      <w:pPr>
        <w:spacing w:after="0" w:line="240" w:lineRule="auto"/>
        <w:ind w:right="-17"/>
        <w:jc w:val="both"/>
        <w:rPr>
          <w:rFonts w:ascii="Times New Roman" w:hAnsi="Times New Roman" w:cs="Times New Roman"/>
          <w:b/>
          <w:sz w:val="24"/>
          <w:szCs w:val="24"/>
        </w:rPr>
      </w:pPr>
    </w:p>
    <w:p w:rsidR="00351852" w:rsidRDefault="00351852" w:rsidP="00351852">
      <w:pPr>
        <w:spacing w:after="0" w:line="240" w:lineRule="auto"/>
        <w:ind w:right="-17"/>
        <w:jc w:val="both"/>
        <w:rPr>
          <w:rFonts w:ascii="Times New Roman" w:hAnsi="Times New Roman" w:cs="Times New Roman"/>
          <w:b/>
          <w:sz w:val="24"/>
          <w:szCs w:val="24"/>
        </w:rPr>
      </w:pPr>
      <w:r w:rsidRPr="008E03AB">
        <w:rPr>
          <w:rFonts w:ascii="Times New Roman" w:hAnsi="Times New Roman" w:cs="Times New Roman"/>
          <w:b/>
          <w:sz w:val="24"/>
          <w:szCs w:val="24"/>
        </w:rPr>
        <w:t>Sēdi vada:</w:t>
      </w:r>
      <w:r w:rsidR="008E03AB" w:rsidRPr="008E03AB">
        <w:t xml:space="preserve"> </w:t>
      </w:r>
      <w:r w:rsidR="00DE71BF">
        <w:rPr>
          <w:rFonts w:ascii="Times New Roman" w:hAnsi="Times New Roman" w:cs="Times New Roman"/>
          <w:sz w:val="24"/>
          <w:szCs w:val="24"/>
        </w:rPr>
        <w:t>M.Luste</w:t>
      </w:r>
    </w:p>
    <w:p w:rsidR="00351852" w:rsidRDefault="00351852" w:rsidP="00351852">
      <w:pPr>
        <w:spacing w:after="0" w:line="240" w:lineRule="auto"/>
        <w:ind w:right="-17"/>
        <w:jc w:val="both"/>
        <w:rPr>
          <w:rFonts w:ascii="Times New Roman" w:hAnsi="Times New Roman" w:cs="Times New Roman"/>
          <w:b/>
          <w:sz w:val="24"/>
          <w:szCs w:val="24"/>
        </w:rPr>
      </w:pPr>
    </w:p>
    <w:p w:rsidR="001B495B" w:rsidRDefault="00351852" w:rsidP="001B495B">
      <w:pPr>
        <w:spacing w:after="0" w:line="240" w:lineRule="auto"/>
        <w:ind w:right="-17"/>
        <w:jc w:val="both"/>
        <w:rPr>
          <w:rFonts w:ascii="Times New Roman" w:hAnsi="Times New Roman" w:cs="Times New Roman"/>
          <w:b/>
          <w:sz w:val="24"/>
          <w:szCs w:val="24"/>
        </w:rPr>
      </w:pPr>
      <w:r>
        <w:rPr>
          <w:rFonts w:ascii="Times New Roman" w:hAnsi="Times New Roman" w:cs="Times New Roman"/>
          <w:b/>
          <w:sz w:val="24"/>
          <w:szCs w:val="24"/>
        </w:rPr>
        <w:t>Sēdes gaita:</w:t>
      </w:r>
      <w:bookmarkStart w:id="1" w:name="_Hlk497727888"/>
    </w:p>
    <w:p w:rsidR="00F7794A" w:rsidRDefault="00F7794A" w:rsidP="001B495B">
      <w:pPr>
        <w:spacing w:after="0" w:line="240" w:lineRule="auto"/>
        <w:ind w:right="-17"/>
        <w:jc w:val="both"/>
        <w:rPr>
          <w:rFonts w:ascii="Times New Roman" w:hAnsi="Times New Roman" w:cs="Times New Roman"/>
          <w:b/>
          <w:sz w:val="24"/>
          <w:szCs w:val="24"/>
        </w:rPr>
      </w:pPr>
    </w:p>
    <w:p w:rsidR="001B495B" w:rsidRDefault="00F7794A" w:rsidP="001B495B">
      <w:pPr>
        <w:spacing w:after="0" w:line="240" w:lineRule="auto"/>
        <w:ind w:right="-17"/>
        <w:jc w:val="both"/>
        <w:rPr>
          <w:rFonts w:ascii="Times New Roman" w:hAnsi="Times New Roman" w:cs="Times New Roman"/>
          <w:sz w:val="24"/>
          <w:szCs w:val="24"/>
        </w:rPr>
      </w:pPr>
      <w:r w:rsidRPr="00F7794A">
        <w:rPr>
          <w:rFonts w:ascii="Times New Roman" w:hAnsi="Times New Roman" w:cs="Times New Roman"/>
          <w:sz w:val="24"/>
          <w:szCs w:val="24"/>
        </w:rPr>
        <w:t>M.Luste</w:t>
      </w:r>
      <w:r>
        <w:rPr>
          <w:rFonts w:ascii="Times New Roman" w:hAnsi="Times New Roman" w:cs="Times New Roman"/>
          <w:sz w:val="24"/>
          <w:szCs w:val="24"/>
        </w:rPr>
        <w:t xml:space="preserve"> </w:t>
      </w:r>
      <w:r w:rsidR="00B00244">
        <w:rPr>
          <w:rFonts w:ascii="Times New Roman" w:hAnsi="Times New Roman" w:cs="Times New Roman"/>
          <w:sz w:val="24"/>
          <w:szCs w:val="24"/>
        </w:rPr>
        <w:t>informē</w:t>
      </w:r>
      <w:r>
        <w:rPr>
          <w:rFonts w:ascii="Times New Roman" w:hAnsi="Times New Roman" w:cs="Times New Roman"/>
          <w:sz w:val="24"/>
          <w:szCs w:val="24"/>
        </w:rPr>
        <w:t xml:space="preserve">, ka </w:t>
      </w:r>
      <w:proofErr w:type="gramStart"/>
      <w:r>
        <w:rPr>
          <w:rFonts w:ascii="Times New Roman" w:hAnsi="Times New Roman" w:cs="Times New Roman"/>
          <w:sz w:val="24"/>
          <w:szCs w:val="24"/>
        </w:rPr>
        <w:t>2018.gada</w:t>
      </w:r>
      <w:proofErr w:type="gramEnd"/>
      <w:r>
        <w:rPr>
          <w:rFonts w:ascii="Times New Roman" w:hAnsi="Times New Roman" w:cs="Times New Roman"/>
          <w:sz w:val="24"/>
          <w:szCs w:val="24"/>
        </w:rPr>
        <w:t xml:space="preserve"> 14.maija Iepirkumu komisijas sēdē</w:t>
      </w:r>
      <w:r w:rsidR="00214211">
        <w:rPr>
          <w:rFonts w:ascii="Times New Roman" w:hAnsi="Times New Roman" w:cs="Times New Roman"/>
          <w:sz w:val="24"/>
          <w:szCs w:val="24"/>
        </w:rPr>
        <w:t xml:space="preserve"> (vērtēšanas protokols Nr.2018/35/ESF/4), izskatot pretendentu kvalifikācijas dokumentācijas atbilstību Iepirkuma nolikuma prasībām</w:t>
      </w:r>
      <w:r w:rsidR="00EC6754">
        <w:rPr>
          <w:rFonts w:ascii="Times New Roman" w:hAnsi="Times New Roman" w:cs="Times New Roman"/>
          <w:sz w:val="24"/>
          <w:szCs w:val="24"/>
        </w:rPr>
        <w:t>,</w:t>
      </w:r>
      <w:r w:rsidR="00214211">
        <w:rPr>
          <w:rFonts w:ascii="Times New Roman" w:hAnsi="Times New Roman" w:cs="Times New Roman"/>
          <w:sz w:val="24"/>
          <w:szCs w:val="24"/>
        </w:rPr>
        <w:t xml:space="preserve"> tika konstatēts</w:t>
      </w:r>
      <w:r w:rsidR="00EC6754">
        <w:rPr>
          <w:rFonts w:ascii="Times New Roman" w:hAnsi="Times New Roman" w:cs="Times New Roman"/>
          <w:sz w:val="24"/>
          <w:szCs w:val="24"/>
        </w:rPr>
        <w:t>, ka</w:t>
      </w:r>
      <w:r w:rsidR="00214211">
        <w:rPr>
          <w:rFonts w:ascii="Times New Roman" w:hAnsi="Times New Roman" w:cs="Times New Roman"/>
          <w:sz w:val="24"/>
          <w:szCs w:val="24"/>
        </w:rPr>
        <w:t>:</w:t>
      </w:r>
    </w:p>
    <w:p w:rsidR="00214211" w:rsidRDefault="00214211" w:rsidP="001B495B">
      <w:pPr>
        <w:spacing w:after="0" w:line="240" w:lineRule="auto"/>
        <w:ind w:right="-17"/>
        <w:jc w:val="both"/>
        <w:rPr>
          <w:rFonts w:ascii="Times New Roman" w:hAnsi="Times New Roman" w:cs="Times New Roman"/>
          <w:sz w:val="24"/>
          <w:szCs w:val="24"/>
        </w:rPr>
      </w:pPr>
    </w:p>
    <w:p w:rsidR="00214211" w:rsidRDefault="00B00244" w:rsidP="002064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11" w:rsidRPr="00214211">
        <w:t xml:space="preserve"> </w:t>
      </w:r>
      <w:r w:rsidR="00214211" w:rsidRPr="00214211">
        <w:rPr>
          <w:rFonts w:ascii="Times New Roman" w:hAnsi="Times New Roman" w:cs="Times New Roman"/>
          <w:sz w:val="24"/>
          <w:szCs w:val="24"/>
        </w:rPr>
        <w:t xml:space="preserve">SIA "D.N.H." ir iesniegusi </w:t>
      </w:r>
      <w:r w:rsidR="00206413">
        <w:rPr>
          <w:rFonts w:ascii="Times New Roman" w:hAnsi="Times New Roman" w:cs="Times New Roman"/>
          <w:sz w:val="24"/>
          <w:szCs w:val="24"/>
        </w:rPr>
        <w:t xml:space="preserve">kvalifikācijas dokumentus atbilstoši </w:t>
      </w:r>
      <w:r w:rsidR="00BC2867">
        <w:rPr>
          <w:rFonts w:ascii="Times New Roman" w:hAnsi="Times New Roman" w:cs="Times New Roman"/>
          <w:sz w:val="24"/>
          <w:szCs w:val="24"/>
        </w:rPr>
        <w:t>I</w:t>
      </w:r>
      <w:r w:rsidR="00206413">
        <w:rPr>
          <w:rFonts w:ascii="Times New Roman" w:hAnsi="Times New Roman" w:cs="Times New Roman"/>
          <w:sz w:val="24"/>
          <w:szCs w:val="24"/>
        </w:rPr>
        <w:t xml:space="preserve">epirkuma </w:t>
      </w:r>
      <w:r w:rsidR="00BC2867">
        <w:rPr>
          <w:rFonts w:ascii="Times New Roman" w:hAnsi="Times New Roman" w:cs="Times New Roman"/>
          <w:sz w:val="24"/>
          <w:szCs w:val="24"/>
        </w:rPr>
        <w:t>n</w:t>
      </w:r>
      <w:r w:rsidR="00206413">
        <w:rPr>
          <w:rFonts w:ascii="Times New Roman" w:hAnsi="Times New Roman" w:cs="Times New Roman"/>
          <w:sz w:val="24"/>
          <w:szCs w:val="24"/>
        </w:rPr>
        <w:t>olikuma prasībām.</w:t>
      </w:r>
    </w:p>
    <w:p w:rsidR="00214211" w:rsidRDefault="00214211" w:rsidP="00214211">
      <w:pPr>
        <w:spacing w:after="0" w:line="240" w:lineRule="auto"/>
        <w:ind w:right="-17"/>
        <w:jc w:val="both"/>
        <w:rPr>
          <w:rFonts w:ascii="Times New Roman" w:hAnsi="Times New Roman" w:cs="Times New Roman"/>
          <w:sz w:val="24"/>
          <w:szCs w:val="24"/>
        </w:rPr>
      </w:pPr>
    </w:p>
    <w:p w:rsidR="00214211" w:rsidRPr="00214211" w:rsidRDefault="00206413" w:rsidP="00214211">
      <w:pPr>
        <w:spacing w:after="0" w:line="240" w:lineRule="auto"/>
        <w:ind w:right="-17"/>
        <w:jc w:val="both"/>
        <w:rPr>
          <w:rFonts w:ascii="Times New Roman" w:hAnsi="Times New Roman" w:cs="Times New Roman"/>
          <w:sz w:val="24"/>
          <w:szCs w:val="24"/>
        </w:rPr>
      </w:pPr>
      <w:bookmarkStart w:id="2" w:name="_Hlk514160581"/>
      <w:r>
        <w:rPr>
          <w:rFonts w:ascii="Times New Roman" w:hAnsi="Times New Roman" w:cs="Times New Roman"/>
          <w:sz w:val="24"/>
          <w:szCs w:val="24"/>
        </w:rPr>
        <w:t>2.</w:t>
      </w:r>
      <w:r w:rsidR="00214211" w:rsidRPr="00214211">
        <w:rPr>
          <w:rFonts w:ascii="Times New Roman" w:hAnsi="Times New Roman" w:cs="Times New Roman"/>
          <w:sz w:val="24"/>
          <w:szCs w:val="24"/>
        </w:rPr>
        <w:t xml:space="preserve">Estravel </w:t>
      </w:r>
      <w:proofErr w:type="spellStart"/>
      <w:r w:rsidR="00214211" w:rsidRPr="00214211">
        <w:rPr>
          <w:rFonts w:ascii="Times New Roman" w:hAnsi="Times New Roman" w:cs="Times New Roman"/>
          <w:sz w:val="24"/>
          <w:szCs w:val="24"/>
        </w:rPr>
        <w:t>Latvia</w:t>
      </w:r>
      <w:proofErr w:type="spellEnd"/>
      <w:r w:rsidR="00214211" w:rsidRPr="00214211">
        <w:rPr>
          <w:rFonts w:ascii="Times New Roman" w:hAnsi="Times New Roman" w:cs="Times New Roman"/>
          <w:sz w:val="24"/>
          <w:szCs w:val="24"/>
        </w:rPr>
        <w:t xml:space="preserve"> – AS </w:t>
      </w:r>
      <w:proofErr w:type="spellStart"/>
      <w:r w:rsidR="00214211" w:rsidRPr="00214211">
        <w:rPr>
          <w:rFonts w:ascii="Times New Roman" w:hAnsi="Times New Roman" w:cs="Times New Roman"/>
          <w:sz w:val="24"/>
          <w:szCs w:val="24"/>
        </w:rPr>
        <w:t>Estravel</w:t>
      </w:r>
      <w:proofErr w:type="spellEnd"/>
      <w:r w:rsidR="00214211" w:rsidRPr="00214211">
        <w:rPr>
          <w:rFonts w:ascii="Times New Roman" w:hAnsi="Times New Roman" w:cs="Times New Roman"/>
          <w:sz w:val="24"/>
          <w:szCs w:val="24"/>
        </w:rPr>
        <w:t xml:space="preserve"> filiāle Latvijā </w:t>
      </w:r>
      <w:bookmarkEnd w:id="2"/>
      <w:r w:rsidR="00214211" w:rsidRPr="00214211">
        <w:rPr>
          <w:rFonts w:ascii="Times New Roman" w:hAnsi="Times New Roman" w:cs="Times New Roman"/>
          <w:sz w:val="24"/>
          <w:szCs w:val="24"/>
        </w:rPr>
        <w:t xml:space="preserve">nav iesniegusi apliecinājumu atbilstoši </w:t>
      </w:r>
      <w:r w:rsidR="00BC2867">
        <w:rPr>
          <w:rFonts w:ascii="Times New Roman" w:hAnsi="Times New Roman" w:cs="Times New Roman"/>
          <w:sz w:val="24"/>
          <w:szCs w:val="24"/>
        </w:rPr>
        <w:t>Iepirkuma n</w:t>
      </w:r>
      <w:r w:rsidR="00214211" w:rsidRPr="00214211">
        <w:rPr>
          <w:rFonts w:ascii="Times New Roman" w:hAnsi="Times New Roman" w:cs="Times New Roman"/>
          <w:sz w:val="24"/>
          <w:szCs w:val="24"/>
        </w:rPr>
        <w:t xml:space="preserve">olikuma 4.1.4.apakšpunkta otrajai daļai, kas paredz iesniegt apliecinājumu, ka Pretendentam ir visas Latvijas Republikas normatīvajos aktos noteiktās atļaujas ēdināšanas pakalpojumu sniegšanai Pretendenta viesnīcas telpās. </w:t>
      </w:r>
    </w:p>
    <w:p w:rsidR="00214211" w:rsidRDefault="00214211" w:rsidP="00214211">
      <w:pPr>
        <w:spacing w:after="0" w:line="240" w:lineRule="auto"/>
        <w:ind w:right="-17"/>
        <w:jc w:val="both"/>
        <w:rPr>
          <w:rFonts w:ascii="Times New Roman" w:hAnsi="Times New Roman" w:cs="Times New Roman"/>
          <w:sz w:val="24"/>
          <w:szCs w:val="24"/>
        </w:rPr>
      </w:pPr>
      <w:r w:rsidRPr="00214211">
        <w:rPr>
          <w:rFonts w:ascii="Times New Roman" w:hAnsi="Times New Roman" w:cs="Times New Roman"/>
          <w:sz w:val="24"/>
          <w:szCs w:val="24"/>
        </w:rPr>
        <w:t xml:space="preserve">Tāpat </w:t>
      </w:r>
      <w:proofErr w:type="spellStart"/>
      <w:r w:rsidRPr="00214211">
        <w:rPr>
          <w:rFonts w:ascii="Times New Roman" w:hAnsi="Times New Roman" w:cs="Times New Roman"/>
          <w:sz w:val="24"/>
          <w:szCs w:val="24"/>
        </w:rPr>
        <w:t>Estravel</w:t>
      </w:r>
      <w:proofErr w:type="spellEnd"/>
      <w:r w:rsidRPr="00214211">
        <w:rPr>
          <w:rFonts w:ascii="Times New Roman" w:hAnsi="Times New Roman" w:cs="Times New Roman"/>
          <w:sz w:val="24"/>
          <w:szCs w:val="24"/>
        </w:rPr>
        <w:t xml:space="preserve"> </w:t>
      </w:r>
      <w:proofErr w:type="spellStart"/>
      <w:r w:rsidRPr="00214211">
        <w:rPr>
          <w:rFonts w:ascii="Times New Roman" w:hAnsi="Times New Roman" w:cs="Times New Roman"/>
          <w:sz w:val="24"/>
          <w:szCs w:val="24"/>
        </w:rPr>
        <w:t>Latvia</w:t>
      </w:r>
      <w:proofErr w:type="spellEnd"/>
      <w:r w:rsidRPr="00214211">
        <w:rPr>
          <w:rFonts w:ascii="Times New Roman" w:hAnsi="Times New Roman" w:cs="Times New Roman"/>
          <w:sz w:val="24"/>
          <w:szCs w:val="24"/>
        </w:rPr>
        <w:t xml:space="preserve"> – AS </w:t>
      </w:r>
      <w:proofErr w:type="spellStart"/>
      <w:r w:rsidRPr="00214211">
        <w:rPr>
          <w:rFonts w:ascii="Times New Roman" w:hAnsi="Times New Roman" w:cs="Times New Roman"/>
          <w:sz w:val="24"/>
          <w:szCs w:val="24"/>
        </w:rPr>
        <w:t>Estravel</w:t>
      </w:r>
      <w:proofErr w:type="spellEnd"/>
      <w:r w:rsidRPr="00214211">
        <w:rPr>
          <w:rFonts w:ascii="Times New Roman" w:hAnsi="Times New Roman" w:cs="Times New Roman"/>
          <w:sz w:val="24"/>
          <w:szCs w:val="24"/>
        </w:rPr>
        <w:t xml:space="preserve"> filiāle Latvijā nav iesniegusi apliecinājumu atbilstoši </w:t>
      </w:r>
      <w:r w:rsidR="00BC2867">
        <w:rPr>
          <w:rFonts w:ascii="Times New Roman" w:hAnsi="Times New Roman" w:cs="Times New Roman"/>
          <w:sz w:val="24"/>
          <w:szCs w:val="24"/>
        </w:rPr>
        <w:t>Iepirkuma n</w:t>
      </w:r>
      <w:r w:rsidRPr="00214211">
        <w:rPr>
          <w:rFonts w:ascii="Times New Roman" w:hAnsi="Times New Roman" w:cs="Times New Roman"/>
          <w:sz w:val="24"/>
          <w:szCs w:val="24"/>
        </w:rPr>
        <w:t xml:space="preserve">olikuma 4.1.5.apakšpunkta prasībām par Iepirkuma </w:t>
      </w:r>
      <w:proofErr w:type="gramStart"/>
      <w:r w:rsidRPr="00214211">
        <w:rPr>
          <w:rFonts w:ascii="Times New Roman" w:hAnsi="Times New Roman" w:cs="Times New Roman"/>
          <w:sz w:val="24"/>
          <w:szCs w:val="24"/>
        </w:rPr>
        <w:t>4. – 7.</w:t>
      </w:r>
      <w:proofErr w:type="gramEnd"/>
      <w:r w:rsidRPr="00214211">
        <w:rPr>
          <w:rFonts w:ascii="Times New Roman" w:hAnsi="Times New Roman" w:cs="Times New Roman"/>
          <w:sz w:val="24"/>
          <w:szCs w:val="24"/>
        </w:rPr>
        <w:t>daļu (ieskaitot).</w:t>
      </w:r>
    </w:p>
    <w:p w:rsidR="00214211" w:rsidRDefault="00214211" w:rsidP="00214211">
      <w:pPr>
        <w:spacing w:after="0" w:line="240" w:lineRule="auto"/>
        <w:ind w:right="-17"/>
        <w:jc w:val="both"/>
        <w:rPr>
          <w:rFonts w:ascii="Times New Roman" w:hAnsi="Times New Roman" w:cs="Times New Roman"/>
          <w:sz w:val="24"/>
          <w:szCs w:val="24"/>
        </w:rPr>
      </w:pPr>
    </w:p>
    <w:p w:rsidR="00214211" w:rsidRDefault="00214211" w:rsidP="00214211">
      <w:pPr>
        <w:spacing w:after="0" w:line="240" w:lineRule="auto"/>
        <w:ind w:right="-17"/>
        <w:jc w:val="both"/>
        <w:rPr>
          <w:rFonts w:ascii="Times New Roman" w:hAnsi="Times New Roman" w:cs="Times New Roman"/>
          <w:sz w:val="24"/>
          <w:szCs w:val="24"/>
        </w:rPr>
      </w:pPr>
      <w:r>
        <w:rPr>
          <w:rFonts w:ascii="Times New Roman" w:hAnsi="Times New Roman" w:cs="Times New Roman"/>
          <w:sz w:val="24"/>
          <w:szCs w:val="24"/>
        </w:rPr>
        <w:t>3</w:t>
      </w:r>
      <w:r w:rsidR="00206413">
        <w:rPr>
          <w:rFonts w:ascii="Times New Roman" w:hAnsi="Times New Roman" w:cs="Times New Roman"/>
          <w:sz w:val="24"/>
          <w:szCs w:val="24"/>
        </w:rPr>
        <w:t xml:space="preserve">. </w:t>
      </w:r>
      <w:r w:rsidRPr="00214211">
        <w:rPr>
          <w:rFonts w:ascii="Times New Roman" w:hAnsi="Times New Roman" w:cs="Times New Roman"/>
          <w:sz w:val="24"/>
          <w:szCs w:val="24"/>
        </w:rPr>
        <w:t xml:space="preserve">SIA "3K MANAGEMENT" nav iesniegusi apliecinājumu atbilstoši </w:t>
      </w:r>
      <w:r w:rsidR="00BC2867">
        <w:rPr>
          <w:rFonts w:ascii="Times New Roman" w:hAnsi="Times New Roman" w:cs="Times New Roman"/>
          <w:sz w:val="24"/>
          <w:szCs w:val="24"/>
        </w:rPr>
        <w:t>Iepirkuma n</w:t>
      </w:r>
      <w:r w:rsidRPr="00214211">
        <w:rPr>
          <w:rFonts w:ascii="Times New Roman" w:hAnsi="Times New Roman" w:cs="Times New Roman"/>
          <w:sz w:val="24"/>
          <w:szCs w:val="24"/>
        </w:rPr>
        <w:t>olikuma 4.1.5.apakšpunkta prasībām par Iepirkuma 1., 2., 8. un 9.daļu, jeb apliecinājumu</w:t>
      </w:r>
      <w:r w:rsidR="00206413">
        <w:rPr>
          <w:rFonts w:ascii="Times New Roman" w:hAnsi="Times New Roman" w:cs="Times New Roman"/>
          <w:sz w:val="24"/>
          <w:szCs w:val="24"/>
        </w:rPr>
        <w:t xml:space="preserve"> vai</w:t>
      </w:r>
      <w:r w:rsidRPr="00214211">
        <w:rPr>
          <w:rFonts w:ascii="Times New Roman" w:hAnsi="Times New Roman" w:cs="Times New Roman"/>
          <w:sz w:val="24"/>
          <w:szCs w:val="24"/>
        </w:rPr>
        <w:t xml:space="preserve"> </w:t>
      </w:r>
      <w:r w:rsidR="00206413" w:rsidRPr="00206413">
        <w:rPr>
          <w:rFonts w:ascii="Times New Roman" w:hAnsi="Times New Roman" w:cs="Times New Roman"/>
          <w:sz w:val="24"/>
          <w:szCs w:val="24"/>
        </w:rPr>
        <w:t xml:space="preserve">citu dokumentu </w:t>
      </w:r>
      <w:r w:rsidR="00206413">
        <w:rPr>
          <w:rFonts w:ascii="Times New Roman" w:hAnsi="Times New Roman" w:cs="Times New Roman"/>
          <w:sz w:val="24"/>
          <w:szCs w:val="24"/>
        </w:rPr>
        <w:t xml:space="preserve">no </w:t>
      </w:r>
      <w:r w:rsidR="00206413" w:rsidRPr="00206413">
        <w:rPr>
          <w:rFonts w:ascii="Times New Roman" w:hAnsi="Times New Roman" w:cs="Times New Roman"/>
          <w:sz w:val="24"/>
          <w:szCs w:val="24"/>
        </w:rPr>
        <w:t>konferenču zāļu īpašnieka(-u) vai pārstāvja(-u)</w:t>
      </w:r>
      <w:r w:rsidR="00206413">
        <w:rPr>
          <w:rFonts w:ascii="Times New Roman" w:hAnsi="Times New Roman" w:cs="Times New Roman"/>
          <w:sz w:val="24"/>
          <w:szCs w:val="24"/>
        </w:rPr>
        <w:t>, ka tie piekrīt</w:t>
      </w:r>
      <w:r w:rsidR="00206413" w:rsidRPr="00206413">
        <w:rPr>
          <w:rFonts w:ascii="Times New Roman" w:hAnsi="Times New Roman" w:cs="Times New Roman"/>
          <w:sz w:val="24"/>
          <w:szCs w:val="24"/>
        </w:rPr>
        <w:t xml:space="preserve"> sadarboties ar Pretendentu, ja Pretendentam tiks piešķirtas līguma slēgšanas tiesības šajā iepirkumā.</w:t>
      </w:r>
    </w:p>
    <w:p w:rsidR="00214211" w:rsidRDefault="00214211" w:rsidP="00214211">
      <w:pPr>
        <w:spacing w:after="0" w:line="240" w:lineRule="auto"/>
        <w:ind w:right="-17"/>
        <w:jc w:val="both"/>
        <w:rPr>
          <w:rFonts w:ascii="Times New Roman" w:hAnsi="Times New Roman" w:cs="Times New Roman"/>
          <w:sz w:val="24"/>
          <w:szCs w:val="24"/>
        </w:rPr>
      </w:pPr>
    </w:p>
    <w:p w:rsidR="00214211" w:rsidRDefault="00206413" w:rsidP="00C5116E">
      <w:pPr>
        <w:spacing w:after="0" w:line="240" w:lineRule="auto"/>
        <w:ind w:right="-17"/>
        <w:jc w:val="both"/>
        <w:rPr>
          <w:rFonts w:ascii="Times New Roman" w:hAnsi="Times New Roman" w:cs="Times New Roman"/>
          <w:sz w:val="24"/>
          <w:szCs w:val="24"/>
        </w:rPr>
      </w:pPr>
      <w:r>
        <w:rPr>
          <w:rFonts w:ascii="Times New Roman" w:hAnsi="Times New Roman" w:cs="Times New Roman"/>
          <w:sz w:val="24"/>
          <w:szCs w:val="24"/>
        </w:rPr>
        <w:t xml:space="preserve">4. </w:t>
      </w:r>
      <w:r w:rsidR="001B495B" w:rsidRPr="001B495B">
        <w:rPr>
          <w:rFonts w:ascii="Times New Roman" w:hAnsi="Times New Roman" w:cs="Times New Roman"/>
          <w:sz w:val="24"/>
          <w:szCs w:val="24"/>
        </w:rPr>
        <w:t xml:space="preserve">Iepirkumu komisija izskatot SIA "Ķemers </w:t>
      </w:r>
      <w:proofErr w:type="spellStart"/>
      <w:r w:rsidR="001B495B" w:rsidRPr="001B495B">
        <w:rPr>
          <w:rFonts w:ascii="Times New Roman" w:hAnsi="Times New Roman" w:cs="Times New Roman"/>
          <w:sz w:val="24"/>
          <w:szCs w:val="24"/>
        </w:rPr>
        <w:t>Business</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and</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Law</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Company</w:t>
      </w:r>
      <w:proofErr w:type="spellEnd"/>
      <w:r w:rsidR="001B495B" w:rsidRPr="001B495B">
        <w:rPr>
          <w:rFonts w:ascii="Times New Roman" w:hAnsi="Times New Roman" w:cs="Times New Roman"/>
          <w:sz w:val="24"/>
          <w:szCs w:val="24"/>
        </w:rPr>
        <w:t xml:space="preserve">" iesniegto </w:t>
      </w:r>
      <w:r w:rsidR="001B495B">
        <w:rPr>
          <w:rFonts w:ascii="Times New Roman" w:hAnsi="Times New Roman" w:cs="Times New Roman"/>
          <w:sz w:val="24"/>
          <w:szCs w:val="24"/>
        </w:rPr>
        <w:t xml:space="preserve">kvalifikācijas </w:t>
      </w:r>
      <w:r w:rsidR="001B495B" w:rsidRPr="001B495B">
        <w:rPr>
          <w:rFonts w:ascii="Times New Roman" w:hAnsi="Times New Roman" w:cs="Times New Roman"/>
          <w:sz w:val="24"/>
          <w:szCs w:val="24"/>
        </w:rPr>
        <w:t>dokumentāciju</w:t>
      </w:r>
      <w:r w:rsidR="001B495B">
        <w:rPr>
          <w:rFonts w:ascii="Times New Roman" w:hAnsi="Times New Roman" w:cs="Times New Roman"/>
          <w:sz w:val="24"/>
          <w:szCs w:val="24"/>
        </w:rPr>
        <w:t xml:space="preserve"> </w:t>
      </w:r>
      <w:r w:rsidR="001B495B" w:rsidRPr="001B495B">
        <w:rPr>
          <w:rFonts w:ascii="Times New Roman" w:hAnsi="Times New Roman" w:cs="Times New Roman"/>
          <w:sz w:val="24"/>
          <w:szCs w:val="24"/>
        </w:rPr>
        <w:t>secin</w:t>
      </w:r>
      <w:r w:rsidR="001B495B">
        <w:rPr>
          <w:rFonts w:ascii="Times New Roman" w:hAnsi="Times New Roman" w:cs="Times New Roman"/>
          <w:sz w:val="24"/>
          <w:szCs w:val="24"/>
        </w:rPr>
        <w:t>āja</w:t>
      </w:r>
      <w:r w:rsidR="001B495B" w:rsidRPr="001B495B">
        <w:rPr>
          <w:rFonts w:ascii="Times New Roman" w:hAnsi="Times New Roman" w:cs="Times New Roman"/>
          <w:sz w:val="24"/>
          <w:szCs w:val="24"/>
        </w:rPr>
        <w:t xml:space="preserve">, ka ir iesniegts </w:t>
      </w:r>
      <w:r w:rsidR="00BC2867">
        <w:rPr>
          <w:rFonts w:ascii="Times New Roman" w:hAnsi="Times New Roman" w:cs="Times New Roman"/>
          <w:sz w:val="24"/>
          <w:szCs w:val="24"/>
        </w:rPr>
        <w:t>Iepirkuma n</w:t>
      </w:r>
      <w:r w:rsidR="001B495B" w:rsidRPr="001B495B">
        <w:rPr>
          <w:rFonts w:ascii="Times New Roman" w:hAnsi="Times New Roman" w:cs="Times New Roman"/>
          <w:sz w:val="24"/>
          <w:szCs w:val="24"/>
        </w:rPr>
        <w:t>olikuma 4.1.1.apakšpunktam daļēji atbilstošs apliecinājums par Iepirkuma 1., 4., 5., 6., 7. un 8.daļu. No iesniegtā apliecinājuma izriet</w:t>
      </w:r>
      <w:r w:rsidR="001B495B">
        <w:rPr>
          <w:rFonts w:ascii="Times New Roman" w:hAnsi="Times New Roman" w:cs="Times New Roman"/>
          <w:sz w:val="24"/>
          <w:szCs w:val="24"/>
        </w:rPr>
        <w:t>ēja</w:t>
      </w:r>
      <w:r w:rsidR="001B495B" w:rsidRPr="001B495B">
        <w:rPr>
          <w:rFonts w:ascii="Times New Roman" w:hAnsi="Times New Roman" w:cs="Times New Roman"/>
          <w:sz w:val="24"/>
          <w:szCs w:val="24"/>
        </w:rPr>
        <w:t xml:space="preserve">, ka SIA "Ķemers </w:t>
      </w:r>
      <w:proofErr w:type="spellStart"/>
      <w:r w:rsidR="001B495B" w:rsidRPr="001B495B">
        <w:rPr>
          <w:rFonts w:ascii="Times New Roman" w:hAnsi="Times New Roman" w:cs="Times New Roman"/>
          <w:sz w:val="24"/>
          <w:szCs w:val="24"/>
        </w:rPr>
        <w:t>Business</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and</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Law</w:t>
      </w:r>
      <w:proofErr w:type="spellEnd"/>
      <w:r w:rsidR="001B495B" w:rsidRPr="001B495B">
        <w:rPr>
          <w:rFonts w:ascii="Times New Roman" w:hAnsi="Times New Roman" w:cs="Times New Roman"/>
          <w:sz w:val="24"/>
          <w:szCs w:val="24"/>
        </w:rPr>
        <w:t xml:space="preserve"> </w:t>
      </w:r>
      <w:proofErr w:type="spellStart"/>
      <w:r w:rsidR="001B495B" w:rsidRPr="001B495B">
        <w:rPr>
          <w:rFonts w:ascii="Times New Roman" w:hAnsi="Times New Roman" w:cs="Times New Roman"/>
          <w:sz w:val="24"/>
          <w:szCs w:val="24"/>
        </w:rPr>
        <w:t>Company</w:t>
      </w:r>
      <w:proofErr w:type="spellEnd"/>
      <w:r w:rsidR="001B495B" w:rsidRPr="001B495B">
        <w:rPr>
          <w:rFonts w:ascii="Times New Roman" w:hAnsi="Times New Roman" w:cs="Times New Roman"/>
          <w:sz w:val="24"/>
          <w:szCs w:val="24"/>
        </w:rPr>
        <w:t>" viena līguma ietvaros ir organizējusi divas konferences vismaz 100 cilvēkiem katrā konferencē un trīs konferences vismaz 200 cilvēkiem katrā seminārā. N</w:t>
      </w:r>
      <w:r w:rsidR="001B495B">
        <w:rPr>
          <w:rFonts w:ascii="Times New Roman" w:hAnsi="Times New Roman" w:cs="Times New Roman"/>
          <w:sz w:val="24"/>
          <w:szCs w:val="24"/>
        </w:rPr>
        <w:t>ebija</w:t>
      </w:r>
      <w:r w:rsidR="001B495B" w:rsidRPr="001B495B">
        <w:rPr>
          <w:rFonts w:ascii="Times New Roman" w:hAnsi="Times New Roman" w:cs="Times New Roman"/>
          <w:sz w:val="24"/>
          <w:szCs w:val="24"/>
        </w:rPr>
        <w:t xml:space="preserve"> iesniegts apliecinājums, kas pilnībā atbilstu </w:t>
      </w:r>
      <w:r w:rsidR="00BC2867">
        <w:rPr>
          <w:rFonts w:ascii="Times New Roman" w:hAnsi="Times New Roman" w:cs="Times New Roman"/>
          <w:sz w:val="24"/>
          <w:szCs w:val="24"/>
        </w:rPr>
        <w:t>Iepirkuma n</w:t>
      </w:r>
      <w:r w:rsidR="001B495B" w:rsidRPr="001B495B">
        <w:rPr>
          <w:rFonts w:ascii="Times New Roman" w:hAnsi="Times New Roman" w:cs="Times New Roman"/>
          <w:sz w:val="24"/>
          <w:szCs w:val="24"/>
        </w:rPr>
        <w:t>olikuma 4.1.1.apakšpunktam, kas paredz, ka ir jāiesniedz apliecinājums par pieredzi vismaz 2 (divu) līgumu izpildē par semināru/konferenču organizēšanu Iepirkuma 1.daļā</w:t>
      </w:r>
      <w:proofErr w:type="gramStart"/>
      <w:r w:rsidR="001B495B" w:rsidRPr="001B495B">
        <w:rPr>
          <w:rFonts w:ascii="Times New Roman" w:hAnsi="Times New Roman" w:cs="Times New Roman"/>
          <w:sz w:val="24"/>
          <w:szCs w:val="24"/>
        </w:rPr>
        <w:t xml:space="preserve">  </w:t>
      </w:r>
      <w:proofErr w:type="gramEnd"/>
      <w:r w:rsidR="001B495B" w:rsidRPr="001B495B">
        <w:rPr>
          <w:rFonts w:ascii="Times New Roman" w:hAnsi="Times New Roman" w:cs="Times New Roman"/>
          <w:sz w:val="24"/>
          <w:szCs w:val="24"/>
        </w:rPr>
        <w:t>vismaz 200 cilvēkiem katrā seminārā un Iepirkuma 4. – 8.daļā vismaz 100 cilvēkiem katrā seminārā.</w:t>
      </w:r>
    </w:p>
    <w:p w:rsidR="00C5116E" w:rsidRDefault="00C5116E" w:rsidP="00C5116E">
      <w:pPr>
        <w:spacing w:after="0" w:line="240" w:lineRule="auto"/>
        <w:ind w:right="-17"/>
        <w:jc w:val="both"/>
        <w:rPr>
          <w:rFonts w:ascii="Times New Roman" w:hAnsi="Times New Roman" w:cs="Times New Roman"/>
          <w:sz w:val="24"/>
          <w:szCs w:val="24"/>
        </w:rPr>
      </w:pPr>
    </w:p>
    <w:p w:rsidR="001B495B" w:rsidRDefault="001B495B" w:rsidP="00206413">
      <w:pPr>
        <w:ind w:firstLine="720"/>
        <w:jc w:val="both"/>
        <w:rPr>
          <w:rFonts w:ascii="Times New Roman" w:hAnsi="Times New Roman" w:cs="Times New Roman"/>
          <w:sz w:val="24"/>
          <w:szCs w:val="24"/>
        </w:rPr>
      </w:pPr>
      <w:r>
        <w:rPr>
          <w:rFonts w:ascii="Times New Roman" w:hAnsi="Times New Roman" w:cs="Times New Roman"/>
          <w:sz w:val="24"/>
          <w:szCs w:val="24"/>
        </w:rPr>
        <w:t>Iepirkumu komisija pamatojoties</w:t>
      </w:r>
      <w:r w:rsidRPr="0034457B">
        <w:rPr>
          <w:rFonts w:ascii="Times New Roman" w:hAnsi="Times New Roman" w:cs="Times New Roman"/>
          <w:sz w:val="24"/>
          <w:szCs w:val="24"/>
        </w:rPr>
        <w:t xml:space="preserve"> uz Publisko iepirkumu likuma </w:t>
      </w:r>
      <w:proofErr w:type="gramStart"/>
      <w:r w:rsidRPr="0034457B">
        <w:rPr>
          <w:rFonts w:ascii="Times New Roman" w:hAnsi="Times New Roman" w:cs="Times New Roman"/>
          <w:sz w:val="24"/>
          <w:szCs w:val="24"/>
        </w:rPr>
        <w:t>41.panta</w:t>
      </w:r>
      <w:proofErr w:type="gramEnd"/>
      <w:r w:rsidRPr="0034457B">
        <w:rPr>
          <w:rFonts w:ascii="Times New Roman" w:hAnsi="Times New Roman" w:cs="Times New Roman"/>
          <w:sz w:val="24"/>
          <w:szCs w:val="24"/>
        </w:rPr>
        <w:t xml:space="preserve"> sesto daļ</w:t>
      </w:r>
      <w:r>
        <w:rPr>
          <w:rFonts w:ascii="Times New Roman" w:hAnsi="Times New Roman" w:cs="Times New Roman"/>
          <w:sz w:val="24"/>
          <w:szCs w:val="24"/>
        </w:rPr>
        <w:t xml:space="preserve">u, lai  </w:t>
      </w:r>
      <w:r w:rsidRPr="0034457B">
        <w:rPr>
          <w:rFonts w:ascii="Times New Roman" w:hAnsi="Times New Roman" w:cs="Times New Roman"/>
          <w:sz w:val="24"/>
          <w:szCs w:val="24"/>
        </w:rPr>
        <w:t>pārliecinātos par pretendenta</w:t>
      </w:r>
      <w:r>
        <w:rPr>
          <w:rFonts w:ascii="Times New Roman" w:hAnsi="Times New Roman" w:cs="Times New Roman"/>
          <w:sz w:val="24"/>
          <w:szCs w:val="24"/>
        </w:rPr>
        <w:t xml:space="preserve"> </w:t>
      </w:r>
      <w:r w:rsidRPr="001B495B">
        <w:rPr>
          <w:rFonts w:ascii="Times New Roman" w:hAnsi="Times New Roman" w:cs="Times New Roman"/>
          <w:sz w:val="24"/>
          <w:szCs w:val="24"/>
        </w:rPr>
        <w:t xml:space="preserve">SIA "Ķemers </w:t>
      </w:r>
      <w:proofErr w:type="spellStart"/>
      <w:r w:rsidRPr="001B495B">
        <w:rPr>
          <w:rFonts w:ascii="Times New Roman" w:hAnsi="Times New Roman" w:cs="Times New Roman"/>
          <w:sz w:val="24"/>
          <w:szCs w:val="24"/>
        </w:rPr>
        <w:t>Business</w:t>
      </w:r>
      <w:proofErr w:type="spellEnd"/>
      <w:r w:rsidRPr="001B495B">
        <w:rPr>
          <w:rFonts w:ascii="Times New Roman" w:hAnsi="Times New Roman" w:cs="Times New Roman"/>
          <w:sz w:val="24"/>
          <w:szCs w:val="24"/>
        </w:rPr>
        <w:t xml:space="preserve"> </w:t>
      </w:r>
      <w:proofErr w:type="spellStart"/>
      <w:r w:rsidRPr="001B495B">
        <w:rPr>
          <w:rFonts w:ascii="Times New Roman" w:hAnsi="Times New Roman" w:cs="Times New Roman"/>
          <w:sz w:val="24"/>
          <w:szCs w:val="24"/>
        </w:rPr>
        <w:t>and</w:t>
      </w:r>
      <w:proofErr w:type="spellEnd"/>
      <w:r w:rsidRPr="001B495B">
        <w:rPr>
          <w:rFonts w:ascii="Times New Roman" w:hAnsi="Times New Roman" w:cs="Times New Roman"/>
          <w:sz w:val="24"/>
          <w:szCs w:val="24"/>
        </w:rPr>
        <w:t xml:space="preserve"> </w:t>
      </w:r>
      <w:proofErr w:type="spellStart"/>
      <w:r w:rsidRPr="001B495B">
        <w:rPr>
          <w:rFonts w:ascii="Times New Roman" w:hAnsi="Times New Roman" w:cs="Times New Roman"/>
          <w:sz w:val="24"/>
          <w:szCs w:val="24"/>
        </w:rPr>
        <w:t>Law</w:t>
      </w:r>
      <w:proofErr w:type="spellEnd"/>
      <w:r w:rsidRPr="001B495B">
        <w:rPr>
          <w:rFonts w:ascii="Times New Roman" w:hAnsi="Times New Roman" w:cs="Times New Roman"/>
          <w:sz w:val="24"/>
          <w:szCs w:val="24"/>
        </w:rPr>
        <w:t xml:space="preserve"> </w:t>
      </w:r>
      <w:proofErr w:type="spellStart"/>
      <w:r w:rsidRPr="001B495B">
        <w:rPr>
          <w:rFonts w:ascii="Times New Roman" w:hAnsi="Times New Roman" w:cs="Times New Roman"/>
          <w:sz w:val="24"/>
          <w:szCs w:val="24"/>
        </w:rPr>
        <w:t>Company</w:t>
      </w:r>
      <w:proofErr w:type="spellEnd"/>
      <w:r w:rsidRPr="001B495B">
        <w:rPr>
          <w:rFonts w:ascii="Times New Roman" w:hAnsi="Times New Roman" w:cs="Times New Roman"/>
          <w:sz w:val="24"/>
          <w:szCs w:val="24"/>
        </w:rPr>
        <w:t xml:space="preserve">" </w:t>
      </w:r>
      <w:r w:rsidRPr="0034457B">
        <w:rPr>
          <w:rFonts w:ascii="Times New Roman" w:hAnsi="Times New Roman" w:cs="Times New Roman"/>
          <w:sz w:val="24"/>
          <w:szCs w:val="24"/>
        </w:rPr>
        <w:t xml:space="preserve">pilnīgu atbilstību vai neatbilstību </w:t>
      </w:r>
      <w:r w:rsidR="00BC2867">
        <w:rPr>
          <w:rFonts w:ascii="Times New Roman" w:hAnsi="Times New Roman" w:cs="Times New Roman"/>
          <w:sz w:val="24"/>
          <w:szCs w:val="24"/>
        </w:rPr>
        <w:t>Iepirkuma n</w:t>
      </w:r>
      <w:r w:rsidRPr="0034457B">
        <w:rPr>
          <w:rFonts w:ascii="Times New Roman" w:hAnsi="Times New Roman" w:cs="Times New Roman"/>
          <w:sz w:val="24"/>
          <w:szCs w:val="24"/>
        </w:rPr>
        <w:t>olikuma 4.1.1.apakšpunktā ietvertajām kvalifikācijas prasībām, lū</w:t>
      </w:r>
      <w:r>
        <w:rPr>
          <w:rFonts w:ascii="Times New Roman" w:hAnsi="Times New Roman" w:cs="Times New Roman"/>
          <w:sz w:val="24"/>
          <w:szCs w:val="24"/>
        </w:rPr>
        <w:t xml:space="preserve">dza, </w:t>
      </w:r>
      <w:r w:rsidRPr="0034457B">
        <w:rPr>
          <w:rFonts w:ascii="Times New Roman" w:hAnsi="Times New Roman" w:cs="Times New Roman"/>
          <w:sz w:val="24"/>
          <w:szCs w:val="24"/>
        </w:rPr>
        <w:t xml:space="preserve">SIA "Ķemers </w:t>
      </w:r>
      <w:proofErr w:type="spellStart"/>
      <w:r w:rsidRPr="0034457B">
        <w:rPr>
          <w:rFonts w:ascii="Times New Roman" w:hAnsi="Times New Roman" w:cs="Times New Roman"/>
          <w:sz w:val="24"/>
          <w:szCs w:val="24"/>
        </w:rPr>
        <w:t>Business</w:t>
      </w:r>
      <w:proofErr w:type="spellEnd"/>
      <w:r w:rsidRPr="0034457B">
        <w:rPr>
          <w:rFonts w:ascii="Times New Roman" w:hAnsi="Times New Roman" w:cs="Times New Roman"/>
          <w:sz w:val="24"/>
          <w:szCs w:val="24"/>
        </w:rPr>
        <w:t xml:space="preserve"> </w:t>
      </w:r>
      <w:proofErr w:type="spellStart"/>
      <w:r w:rsidRPr="0034457B">
        <w:rPr>
          <w:rFonts w:ascii="Times New Roman" w:hAnsi="Times New Roman" w:cs="Times New Roman"/>
          <w:sz w:val="24"/>
          <w:szCs w:val="24"/>
        </w:rPr>
        <w:t>and</w:t>
      </w:r>
      <w:proofErr w:type="spellEnd"/>
      <w:r w:rsidRPr="0034457B">
        <w:rPr>
          <w:rFonts w:ascii="Times New Roman" w:hAnsi="Times New Roman" w:cs="Times New Roman"/>
          <w:sz w:val="24"/>
          <w:szCs w:val="24"/>
        </w:rPr>
        <w:t xml:space="preserve"> </w:t>
      </w:r>
      <w:proofErr w:type="spellStart"/>
      <w:r w:rsidRPr="0034457B">
        <w:rPr>
          <w:rFonts w:ascii="Times New Roman" w:hAnsi="Times New Roman" w:cs="Times New Roman"/>
          <w:sz w:val="24"/>
          <w:szCs w:val="24"/>
        </w:rPr>
        <w:t>Law</w:t>
      </w:r>
      <w:proofErr w:type="spellEnd"/>
      <w:r w:rsidRPr="0034457B">
        <w:rPr>
          <w:rFonts w:ascii="Times New Roman" w:hAnsi="Times New Roman" w:cs="Times New Roman"/>
          <w:sz w:val="24"/>
          <w:szCs w:val="24"/>
        </w:rPr>
        <w:t xml:space="preserve"> </w:t>
      </w:r>
      <w:proofErr w:type="spellStart"/>
      <w:r w:rsidRPr="0034457B">
        <w:rPr>
          <w:rFonts w:ascii="Times New Roman" w:hAnsi="Times New Roman" w:cs="Times New Roman"/>
          <w:sz w:val="24"/>
          <w:szCs w:val="24"/>
        </w:rPr>
        <w:t>Company</w:t>
      </w:r>
      <w:proofErr w:type="spellEnd"/>
      <w:r w:rsidRPr="0034457B">
        <w:rPr>
          <w:rFonts w:ascii="Times New Roman" w:hAnsi="Times New Roman" w:cs="Times New Roman"/>
          <w:sz w:val="24"/>
          <w:szCs w:val="24"/>
        </w:rPr>
        <w:t xml:space="preserve">" izskaidrot apliecinājumā minēto informāciju atbilstoši Nolikuma 4.1.1.apakšpunktā ietvertajām kvalifikācijas prasībām par Iepirkuma </w:t>
      </w:r>
      <w:bookmarkStart w:id="3" w:name="_Hlk514161208"/>
      <w:r w:rsidRPr="0034457B">
        <w:rPr>
          <w:rFonts w:ascii="Times New Roman" w:hAnsi="Times New Roman" w:cs="Times New Roman"/>
          <w:sz w:val="24"/>
          <w:szCs w:val="24"/>
        </w:rPr>
        <w:t>1., 4., 5., 6., 7. un 8.daļu</w:t>
      </w:r>
      <w:bookmarkEnd w:id="3"/>
      <w:r w:rsidRPr="0034457B">
        <w:rPr>
          <w:rFonts w:ascii="Times New Roman" w:hAnsi="Times New Roman" w:cs="Times New Roman"/>
          <w:sz w:val="24"/>
          <w:szCs w:val="24"/>
        </w:rPr>
        <w:t>.</w:t>
      </w:r>
      <w:r>
        <w:rPr>
          <w:rFonts w:ascii="Times New Roman" w:hAnsi="Times New Roman" w:cs="Times New Roman"/>
          <w:sz w:val="24"/>
          <w:szCs w:val="24"/>
        </w:rPr>
        <w:t xml:space="preserve"> </w:t>
      </w:r>
      <w:r w:rsidRPr="0034457B">
        <w:rPr>
          <w:rFonts w:ascii="Times New Roman" w:hAnsi="Times New Roman" w:cs="Times New Roman"/>
          <w:sz w:val="24"/>
          <w:szCs w:val="24"/>
        </w:rPr>
        <w:t xml:space="preserve">Pieprasītais papildu dokumentācijas skaidrojums </w:t>
      </w:r>
      <w:r w:rsidR="00206413">
        <w:rPr>
          <w:rFonts w:ascii="Times New Roman" w:hAnsi="Times New Roman" w:cs="Times New Roman"/>
          <w:sz w:val="24"/>
          <w:szCs w:val="24"/>
        </w:rPr>
        <w:t xml:space="preserve">bija </w:t>
      </w:r>
      <w:r w:rsidRPr="0034457B">
        <w:rPr>
          <w:rFonts w:ascii="Times New Roman" w:hAnsi="Times New Roman" w:cs="Times New Roman"/>
          <w:sz w:val="24"/>
          <w:szCs w:val="24"/>
        </w:rPr>
        <w:t>jāiesniedz līdz 2018.gada 16.maija plkst.16:00.</w:t>
      </w:r>
    </w:p>
    <w:p w:rsidR="0034457B" w:rsidRDefault="00F7794A" w:rsidP="00DA3C9F">
      <w:pPr>
        <w:ind w:firstLine="720"/>
        <w:jc w:val="both"/>
        <w:rPr>
          <w:rFonts w:ascii="Times New Roman" w:hAnsi="Times New Roman" w:cs="Times New Roman"/>
          <w:sz w:val="24"/>
          <w:szCs w:val="24"/>
        </w:rPr>
      </w:pPr>
      <w:proofErr w:type="gramStart"/>
      <w:r w:rsidRPr="00EC6754">
        <w:rPr>
          <w:rFonts w:ascii="Times New Roman" w:hAnsi="Times New Roman" w:cs="Times New Roman"/>
          <w:sz w:val="24"/>
          <w:szCs w:val="24"/>
        </w:rPr>
        <w:t>2018.gada</w:t>
      </w:r>
      <w:proofErr w:type="gramEnd"/>
      <w:r w:rsidRPr="00EC6754">
        <w:rPr>
          <w:rFonts w:ascii="Times New Roman" w:hAnsi="Times New Roman" w:cs="Times New Roman"/>
          <w:sz w:val="24"/>
          <w:szCs w:val="24"/>
        </w:rPr>
        <w:t xml:space="preserve"> 15.maijā no SIA "Ķemers </w:t>
      </w:r>
      <w:proofErr w:type="spellStart"/>
      <w:r w:rsidRPr="00EC6754">
        <w:rPr>
          <w:rFonts w:ascii="Times New Roman" w:hAnsi="Times New Roman" w:cs="Times New Roman"/>
          <w:sz w:val="24"/>
          <w:szCs w:val="24"/>
        </w:rPr>
        <w:t>Business</w:t>
      </w:r>
      <w:proofErr w:type="spellEnd"/>
      <w:r w:rsidRPr="00EC6754">
        <w:rPr>
          <w:rFonts w:ascii="Times New Roman" w:hAnsi="Times New Roman" w:cs="Times New Roman"/>
          <w:sz w:val="24"/>
          <w:szCs w:val="24"/>
        </w:rPr>
        <w:t xml:space="preserve"> </w:t>
      </w:r>
      <w:proofErr w:type="spellStart"/>
      <w:r w:rsidRPr="00EC6754">
        <w:rPr>
          <w:rFonts w:ascii="Times New Roman" w:hAnsi="Times New Roman" w:cs="Times New Roman"/>
          <w:sz w:val="24"/>
          <w:szCs w:val="24"/>
        </w:rPr>
        <w:t>and</w:t>
      </w:r>
      <w:proofErr w:type="spellEnd"/>
      <w:r w:rsidRPr="00EC6754">
        <w:rPr>
          <w:rFonts w:ascii="Times New Roman" w:hAnsi="Times New Roman" w:cs="Times New Roman"/>
          <w:sz w:val="24"/>
          <w:szCs w:val="24"/>
        </w:rPr>
        <w:t xml:space="preserve"> </w:t>
      </w:r>
      <w:proofErr w:type="spellStart"/>
      <w:r w:rsidRPr="00EC6754">
        <w:rPr>
          <w:rFonts w:ascii="Times New Roman" w:hAnsi="Times New Roman" w:cs="Times New Roman"/>
          <w:sz w:val="24"/>
          <w:szCs w:val="24"/>
        </w:rPr>
        <w:t>Law</w:t>
      </w:r>
      <w:proofErr w:type="spellEnd"/>
      <w:r w:rsidRPr="00EC6754">
        <w:rPr>
          <w:rFonts w:ascii="Times New Roman" w:hAnsi="Times New Roman" w:cs="Times New Roman"/>
          <w:sz w:val="24"/>
          <w:szCs w:val="24"/>
        </w:rPr>
        <w:t xml:space="preserve"> </w:t>
      </w:r>
      <w:proofErr w:type="spellStart"/>
      <w:r w:rsidRPr="00EC6754">
        <w:rPr>
          <w:rFonts w:ascii="Times New Roman" w:hAnsi="Times New Roman" w:cs="Times New Roman"/>
          <w:sz w:val="24"/>
          <w:szCs w:val="24"/>
        </w:rPr>
        <w:t>Company</w:t>
      </w:r>
      <w:proofErr w:type="spellEnd"/>
      <w:r w:rsidRPr="00EC6754">
        <w:rPr>
          <w:rFonts w:ascii="Times New Roman" w:hAnsi="Times New Roman" w:cs="Times New Roman"/>
          <w:sz w:val="24"/>
          <w:szCs w:val="24"/>
        </w:rPr>
        <w:t>" tika saņemts pieprasītais skaidrojum</w:t>
      </w:r>
      <w:r w:rsidR="00C5116E">
        <w:rPr>
          <w:rFonts w:ascii="Times New Roman" w:hAnsi="Times New Roman" w:cs="Times New Roman"/>
          <w:sz w:val="24"/>
          <w:szCs w:val="24"/>
        </w:rPr>
        <w:t>s</w:t>
      </w:r>
      <w:r w:rsidR="00EC6754" w:rsidRPr="00C5116E">
        <w:rPr>
          <w:rFonts w:ascii="Times New Roman" w:hAnsi="Times New Roman" w:cs="Times New Roman"/>
          <w:sz w:val="24"/>
          <w:szCs w:val="24"/>
        </w:rPr>
        <w:t>,</w:t>
      </w:r>
      <w:r w:rsidR="00EC6754">
        <w:rPr>
          <w:rFonts w:ascii="Times New Roman" w:hAnsi="Times New Roman" w:cs="Times New Roman"/>
          <w:sz w:val="24"/>
          <w:szCs w:val="24"/>
        </w:rPr>
        <w:t xml:space="preserve"> kurā tika norādīts, ka neprecizitāte ir radusies pārrakstīšanās rezultātā, jo laika periodā no 2015.gada līdz 2016.gada 31.decembrim </w:t>
      </w:r>
      <w:bookmarkStart w:id="4" w:name="_Hlk514226643"/>
      <w:r w:rsidR="00EC6754" w:rsidRPr="00EC6754">
        <w:rPr>
          <w:rFonts w:ascii="Times New Roman" w:hAnsi="Times New Roman" w:cs="Times New Roman"/>
          <w:sz w:val="24"/>
          <w:szCs w:val="24"/>
        </w:rPr>
        <w:t xml:space="preserve">SIA "Ķemers </w:t>
      </w:r>
      <w:proofErr w:type="spellStart"/>
      <w:r w:rsidR="00EC6754" w:rsidRPr="00EC6754">
        <w:rPr>
          <w:rFonts w:ascii="Times New Roman" w:hAnsi="Times New Roman" w:cs="Times New Roman"/>
          <w:sz w:val="24"/>
          <w:szCs w:val="24"/>
        </w:rPr>
        <w:t>Business</w:t>
      </w:r>
      <w:proofErr w:type="spellEnd"/>
      <w:r w:rsidR="00EC6754" w:rsidRPr="00EC6754">
        <w:rPr>
          <w:rFonts w:ascii="Times New Roman" w:hAnsi="Times New Roman" w:cs="Times New Roman"/>
          <w:sz w:val="24"/>
          <w:szCs w:val="24"/>
        </w:rPr>
        <w:t xml:space="preserve"> </w:t>
      </w:r>
      <w:proofErr w:type="spellStart"/>
      <w:r w:rsidR="00EC6754" w:rsidRPr="00EC6754">
        <w:rPr>
          <w:rFonts w:ascii="Times New Roman" w:hAnsi="Times New Roman" w:cs="Times New Roman"/>
          <w:sz w:val="24"/>
          <w:szCs w:val="24"/>
        </w:rPr>
        <w:t>and</w:t>
      </w:r>
      <w:proofErr w:type="spellEnd"/>
      <w:r w:rsidR="00EC6754" w:rsidRPr="00EC6754">
        <w:rPr>
          <w:rFonts w:ascii="Times New Roman" w:hAnsi="Times New Roman" w:cs="Times New Roman"/>
          <w:sz w:val="24"/>
          <w:szCs w:val="24"/>
        </w:rPr>
        <w:t xml:space="preserve"> </w:t>
      </w:r>
      <w:proofErr w:type="spellStart"/>
      <w:r w:rsidR="00EC6754" w:rsidRPr="00EC6754">
        <w:rPr>
          <w:rFonts w:ascii="Times New Roman" w:hAnsi="Times New Roman" w:cs="Times New Roman"/>
          <w:sz w:val="24"/>
          <w:szCs w:val="24"/>
        </w:rPr>
        <w:t>Law</w:t>
      </w:r>
      <w:proofErr w:type="spellEnd"/>
      <w:r w:rsidR="00EC6754" w:rsidRPr="00EC6754">
        <w:rPr>
          <w:rFonts w:ascii="Times New Roman" w:hAnsi="Times New Roman" w:cs="Times New Roman"/>
          <w:sz w:val="24"/>
          <w:szCs w:val="24"/>
        </w:rPr>
        <w:t xml:space="preserve"> </w:t>
      </w:r>
      <w:proofErr w:type="spellStart"/>
      <w:r w:rsidR="00EC6754" w:rsidRPr="00EC6754">
        <w:rPr>
          <w:rFonts w:ascii="Times New Roman" w:hAnsi="Times New Roman" w:cs="Times New Roman"/>
          <w:sz w:val="24"/>
          <w:szCs w:val="24"/>
        </w:rPr>
        <w:t>Company</w:t>
      </w:r>
      <w:proofErr w:type="spellEnd"/>
      <w:r w:rsidR="00EC6754" w:rsidRPr="00EC6754">
        <w:rPr>
          <w:rFonts w:ascii="Times New Roman" w:hAnsi="Times New Roman" w:cs="Times New Roman"/>
          <w:sz w:val="24"/>
          <w:szCs w:val="24"/>
        </w:rPr>
        <w:t>"</w:t>
      </w:r>
      <w:r w:rsidR="00EC6754">
        <w:rPr>
          <w:rFonts w:ascii="Times New Roman" w:hAnsi="Times New Roman" w:cs="Times New Roman"/>
          <w:sz w:val="24"/>
          <w:szCs w:val="24"/>
        </w:rPr>
        <w:t xml:space="preserve"> </w:t>
      </w:r>
      <w:bookmarkEnd w:id="4"/>
      <w:r w:rsidR="00EC6754">
        <w:rPr>
          <w:rFonts w:ascii="Times New Roman" w:hAnsi="Times New Roman" w:cs="Times New Roman"/>
          <w:sz w:val="24"/>
          <w:szCs w:val="24"/>
        </w:rPr>
        <w:t>paralēli darbojas divi līgumi</w:t>
      </w:r>
      <w:r w:rsidR="00CD4CEC">
        <w:rPr>
          <w:rFonts w:ascii="Times New Roman" w:hAnsi="Times New Roman" w:cs="Times New Roman"/>
          <w:sz w:val="24"/>
          <w:szCs w:val="24"/>
        </w:rPr>
        <w:t xml:space="preserve"> ar </w:t>
      </w:r>
      <w:r w:rsidR="00EC6754">
        <w:rPr>
          <w:rFonts w:ascii="Times New Roman" w:hAnsi="Times New Roman" w:cs="Times New Roman"/>
          <w:sz w:val="24"/>
          <w:szCs w:val="24"/>
        </w:rPr>
        <w:t>Vides aizsardzības un reģionālās attīstības ministrij</w:t>
      </w:r>
      <w:r w:rsidR="00CD4CEC">
        <w:rPr>
          <w:rFonts w:ascii="Times New Roman" w:hAnsi="Times New Roman" w:cs="Times New Roman"/>
          <w:sz w:val="24"/>
          <w:szCs w:val="24"/>
        </w:rPr>
        <w:t>u</w:t>
      </w:r>
      <w:r w:rsidR="00EC6754">
        <w:rPr>
          <w:rFonts w:ascii="Times New Roman" w:hAnsi="Times New Roman" w:cs="Times New Roman"/>
          <w:sz w:val="24"/>
          <w:szCs w:val="24"/>
        </w:rPr>
        <w:t xml:space="preserve"> (turpmāk – VARAM)</w:t>
      </w:r>
      <w:r w:rsidR="00CD4CEC">
        <w:rPr>
          <w:rFonts w:ascii="Times New Roman" w:hAnsi="Times New Roman" w:cs="Times New Roman"/>
          <w:sz w:val="24"/>
          <w:szCs w:val="24"/>
        </w:rPr>
        <w:t xml:space="preserve"> -</w:t>
      </w:r>
      <w:r w:rsidR="00EC6754">
        <w:rPr>
          <w:rFonts w:ascii="Times New Roman" w:hAnsi="Times New Roman" w:cs="Times New Roman"/>
          <w:sz w:val="24"/>
          <w:szCs w:val="24"/>
        </w:rPr>
        <w:t xml:space="preserve"> Līgums Nr.23 no 2014.gada 7.aprīļa līdz 2016.gada 30.aprīlim</w:t>
      </w:r>
      <w:r w:rsidR="00FD776D">
        <w:rPr>
          <w:rFonts w:ascii="Times New Roman" w:hAnsi="Times New Roman" w:cs="Times New Roman"/>
          <w:sz w:val="24"/>
          <w:szCs w:val="24"/>
        </w:rPr>
        <w:t xml:space="preserve"> un </w:t>
      </w:r>
      <w:r w:rsidR="00FD776D">
        <w:rPr>
          <w:rFonts w:ascii="Times New Roman" w:hAnsi="Times New Roman" w:cs="Times New Roman"/>
          <w:sz w:val="24"/>
          <w:szCs w:val="24"/>
        </w:rPr>
        <w:lastRenderedPageBreak/>
        <w:t>Līgums Nr.</w:t>
      </w:r>
      <w:r w:rsidR="00CD4CEC">
        <w:rPr>
          <w:rFonts w:ascii="Times New Roman" w:hAnsi="Times New Roman" w:cs="Times New Roman"/>
          <w:sz w:val="24"/>
          <w:szCs w:val="24"/>
        </w:rPr>
        <w:t xml:space="preserve">92 no 2015.gada 26.novembra līdz 2016.gada 31.decembrim. </w:t>
      </w:r>
      <w:r w:rsidR="00211E50" w:rsidRPr="00EC6754">
        <w:rPr>
          <w:rFonts w:ascii="Times New Roman" w:hAnsi="Times New Roman" w:cs="Times New Roman"/>
          <w:sz w:val="24"/>
          <w:szCs w:val="24"/>
        </w:rPr>
        <w:t xml:space="preserve">SIA "Ķemers </w:t>
      </w:r>
      <w:proofErr w:type="spellStart"/>
      <w:r w:rsidR="00211E50" w:rsidRPr="00EC6754">
        <w:rPr>
          <w:rFonts w:ascii="Times New Roman" w:hAnsi="Times New Roman" w:cs="Times New Roman"/>
          <w:sz w:val="24"/>
          <w:szCs w:val="24"/>
        </w:rPr>
        <w:t>Business</w:t>
      </w:r>
      <w:proofErr w:type="spellEnd"/>
      <w:r w:rsidR="00211E50" w:rsidRPr="00EC6754">
        <w:rPr>
          <w:rFonts w:ascii="Times New Roman" w:hAnsi="Times New Roman" w:cs="Times New Roman"/>
          <w:sz w:val="24"/>
          <w:szCs w:val="24"/>
        </w:rPr>
        <w:t xml:space="preserve"> </w:t>
      </w:r>
      <w:proofErr w:type="spellStart"/>
      <w:r w:rsidR="00211E50" w:rsidRPr="00EC6754">
        <w:rPr>
          <w:rFonts w:ascii="Times New Roman" w:hAnsi="Times New Roman" w:cs="Times New Roman"/>
          <w:sz w:val="24"/>
          <w:szCs w:val="24"/>
        </w:rPr>
        <w:t>and</w:t>
      </w:r>
      <w:proofErr w:type="spellEnd"/>
      <w:r w:rsidR="00211E50" w:rsidRPr="00EC6754">
        <w:rPr>
          <w:rFonts w:ascii="Times New Roman" w:hAnsi="Times New Roman" w:cs="Times New Roman"/>
          <w:sz w:val="24"/>
          <w:szCs w:val="24"/>
        </w:rPr>
        <w:t xml:space="preserve"> </w:t>
      </w:r>
      <w:proofErr w:type="spellStart"/>
      <w:r w:rsidR="00211E50" w:rsidRPr="00EC6754">
        <w:rPr>
          <w:rFonts w:ascii="Times New Roman" w:hAnsi="Times New Roman" w:cs="Times New Roman"/>
          <w:sz w:val="24"/>
          <w:szCs w:val="24"/>
        </w:rPr>
        <w:t>Law</w:t>
      </w:r>
      <w:proofErr w:type="spellEnd"/>
      <w:r w:rsidR="00211E50" w:rsidRPr="00EC6754">
        <w:rPr>
          <w:rFonts w:ascii="Times New Roman" w:hAnsi="Times New Roman" w:cs="Times New Roman"/>
          <w:sz w:val="24"/>
          <w:szCs w:val="24"/>
        </w:rPr>
        <w:t xml:space="preserve"> </w:t>
      </w:r>
      <w:proofErr w:type="spellStart"/>
      <w:r w:rsidR="00211E50" w:rsidRPr="00EC6754">
        <w:rPr>
          <w:rFonts w:ascii="Times New Roman" w:hAnsi="Times New Roman" w:cs="Times New Roman"/>
          <w:sz w:val="24"/>
          <w:szCs w:val="24"/>
        </w:rPr>
        <w:t>Company</w:t>
      </w:r>
      <w:proofErr w:type="spellEnd"/>
      <w:r w:rsidR="00211E50" w:rsidRPr="00EC6754">
        <w:rPr>
          <w:rFonts w:ascii="Times New Roman" w:hAnsi="Times New Roman" w:cs="Times New Roman"/>
          <w:sz w:val="24"/>
          <w:szCs w:val="24"/>
        </w:rPr>
        <w:t>"</w:t>
      </w:r>
      <w:r w:rsidR="00211E50">
        <w:rPr>
          <w:rFonts w:ascii="Times New Roman" w:hAnsi="Times New Roman" w:cs="Times New Roman"/>
          <w:sz w:val="24"/>
          <w:szCs w:val="24"/>
        </w:rPr>
        <w:t xml:space="preserve"> skaidrojumā norāda, ka apliecinājumā par pretendenta pieredzi (Iepirkuma nolikuma 4.1.1.apakšpunkts), tā tabulas 1.punkta</w:t>
      </w:r>
      <w:r w:rsidR="00A35B88">
        <w:rPr>
          <w:rFonts w:ascii="Times New Roman" w:hAnsi="Times New Roman" w:cs="Times New Roman"/>
          <w:sz w:val="24"/>
          <w:szCs w:val="24"/>
        </w:rPr>
        <w:t xml:space="preserve"> un 4.punkta</w:t>
      </w:r>
      <w:r w:rsidR="00211E50">
        <w:rPr>
          <w:rFonts w:ascii="Times New Roman" w:hAnsi="Times New Roman" w:cs="Times New Roman"/>
          <w:sz w:val="24"/>
          <w:szCs w:val="24"/>
        </w:rPr>
        <w:t xml:space="preserve"> ailē “Līguma darbības laiks (no/līdz) (</w:t>
      </w:r>
      <w:proofErr w:type="spellStart"/>
      <w:r w:rsidR="00211E50">
        <w:rPr>
          <w:rFonts w:ascii="Times New Roman" w:hAnsi="Times New Roman" w:cs="Times New Roman"/>
          <w:sz w:val="24"/>
          <w:szCs w:val="24"/>
        </w:rPr>
        <w:t>mēn</w:t>
      </w:r>
      <w:proofErr w:type="spellEnd"/>
      <w:r w:rsidR="00211E50">
        <w:rPr>
          <w:rFonts w:ascii="Times New Roman" w:hAnsi="Times New Roman" w:cs="Times New Roman"/>
          <w:sz w:val="24"/>
          <w:szCs w:val="24"/>
        </w:rPr>
        <w:t>./gads)” jābūt VARAM Līgums Nr.92 no 2015.gada 26</w:t>
      </w:r>
      <w:r w:rsidR="00A35B88">
        <w:rPr>
          <w:rFonts w:ascii="Times New Roman" w:hAnsi="Times New Roman" w:cs="Times New Roman"/>
          <w:sz w:val="24"/>
          <w:szCs w:val="24"/>
        </w:rPr>
        <w:t xml:space="preserve">.novembra līdz 2016.gada 31.decembrim. Lai pārliecinātos par </w:t>
      </w:r>
      <w:r w:rsidR="00A35B88" w:rsidRPr="00A35B88">
        <w:rPr>
          <w:rFonts w:ascii="Times New Roman" w:hAnsi="Times New Roman" w:cs="Times New Roman"/>
          <w:sz w:val="24"/>
          <w:szCs w:val="24"/>
        </w:rPr>
        <w:t xml:space="preserve">SIA "Ķemers </w:t>
      </w:r>
      <w:proofErr w:type="spellStart"/>
      <w:r w:rsidR="00A35B88" w:rsidRPr="00A35B88">
        <w:rPr>
          <w:rFonts w:ascii="Times New Roman" w:hAnsi="Times New Roman" w:cs="Times New Roman"/>
          <w:sz w:val="24"/>
          <w:szCs w:val="24"/>
        </w:rPr>
        <w:t>Business</w:t>
      </w:r>
      <w:proofErr w:type="spellEnd"/>
      <w:r w:rsidR="00A35B88" w:rsidRPr="00A35B88">
        <w:rPr>
          <w:rFonts w:ascii="Times New Roman" w:hAnsi="Times New Roman" w:cs="Times New Roman"/>
          <w:sz w:val="24"/>
          <w:szCs w:val="24"/>
        </w:rPr>
        <w:t xml:space="preserve"> </w:t>
      </w:r>
      <w:proofErr w:type="spellStart"/>
      <w:r w:rsidR="00A35B88" w:rsidRPr="00A35B88">
        <w:rPr>
          <w:rFonts w:ascii="Times New Roman" w:hAnsi="Times New Roman" w:cs="Times New Roman"/>
          <w:sz w:val="24"/>
          <w:szCs w:val="24"/>
        </w:rPr>
        <w:t>and</w:t>
      </w:r>
      <w:proofErr w:type="spellEnd"/>
      <w:r w:rsidR="00A35B88" w:rsidRPr="00A35B88">
        <w:rPr>
          <w:rFonts w:ascii="Times New Roman" w:hAnsi="Times New Roman" w:cs="Times New Roman"/>
          <w:sz w:val="24"/>
          <w:szCs w:val="24"/>
        </w:rPr>
        <w:t xml:space="preserve"> </w:t>
      </w:r>
      <w:proofErr w:type="spellStart"/>
      <w:r w:rsidR="00A35B88" w:rsidRPr="00A35B88">
        <w:rPr>
          <w:rFonts w:ascii="Times New Roman" w:hAnsi="Times New Roman" w:cs="Times New Roman"/>
          <w:sz w:val="24"/>
          <w:szCs w:val="24"/>
        </w:rPr>
        <w:t>Law</w:t>
      </w:r>
      <w:proofErr w:type="spellEnd"/>
      <w:r w:rsidR="00A35B88" w:rsidRPr="00A35B88">
        <w:rPr>
          <w:rFonts w:ascii="Times New Roman" w:hAnsi="Times New Roman" w:cs="Times New Roman"/>
          <w:sz w:val="24"/>
          <w:szCs w:val="24"/>
        </w:rPr>
        <w:t xml:space="preserve"> </w:t>
      </w:r>
      <w:proofErr w:type="spellStart"/>
      <w:r w:rsidR="00A35B88" w:rsidRPr="00A35B88">
        <w:rPr>
          <w:rFonts w:ascii="Times New Roman" w:hAnsi="Times New Roman" w:cs="Times New Roman"/>
          <w:sz w:val="24"/>
          <w:szCs w:val="24"/>
        </w:rPr>
        <w:t>Company</w:t>
      </w:r>
      <w:proofErr w:type="spellEnd"/>
      <w:r w:rsidR="00A35B88" w:rsidRPr="00A35B88">
        <w:rPr>
          <w:rFonts w:ascii="Times New Roman" w:hAnsi="Times New Roman" w:cs="Times New Roman"/>
          <w:sz w:val="24"/>
          <w:szCs w:val="24"/>
        </w:rPr>
        <w:t>"</w:t>
      </w:r>
      <w:r w:rsidR="00A35B88">
        <w:rPr>
          <w:rFonts w:ascii="Times New Roman" w:hAnsi="Times New Roman" w:cs="Times New Roman"/>
          <w:sz w:val="24"/>
          <w:szCs w:val="24"/>
        </w:rPr>
        <w:t xml:space="preserve"> sniegtā skaidrojuma patiesumu, Iepirkuma komisija sazinājās ar VARAM</w:t>
      </w:r>
      <w:r w:rsidR="00E325CF">
        <w:rPr>
          <w:rFonts w:ascii="Times New Roman" w:hAnsi="Times New Roman" w:cs="Times New Roman"/>
          <w:sz w:val="24"/>
          <w:szCs w:val="24"/>
        </w:rPr>
        <w:t xml:space="preserve"> pārstāvi</w:t>
      </w:r>
      <w:r w:rsidR="00A35B88">
        <w:rPr>
          <w:rFonts w:ascii="Times New Roman" w:hAnsi="Times New Roman" w:cs="Times New Roman"/>
          <w:sz w:val="24"/>
          <w:szCs w:val="24"/>
        </w:rPr>
        <w:t>, kas apliecināja</w:t>
      </w:r>
      <w:r w:rsidR="00B53D71" w:rsidRPr="00B53D71">
        <w:t xml:space="preserve"> </w:t>
      </w:r>
      <w:r w:rsidR="00B53D71" w:rsidRPr="00B53D71">
        <w:rPr>
          <w:rFonts w:ascii="Times New Roman" w:hAnsi="Times New Roman" w:cs="Times New Roman"/>
          <w:sz w:val="24"/>
          <w:szCs w:val="24"/>
        </w:rPr>
        <w:t xml:space="preserve">SIA "Ķemers </w:t>
      </w:r>
      <w:proofErr w:type="spellStart"/>
      <w:r w:rsidR="00B53D71" w:rsidRPr="00B53D71">
        <w:rPr>
          <w:rFonts w:ascii="Times New Roman" w:hAnsi="Times New Roman" w:cs="Times New Roman"/>
          <w:sz w:val="24"/>
          <w:szCs w:val="24"/>
        </w:rPr>
        <w:t>Business</w:t>
      </w:r>
      <w:proofErr w:type="spellEnd"/>
      <w:r w:rsidR="00B53D71" w:rsidRPr="00B53D71">
        <w:rPr>
          <w:rFonts w:ascii="Times New Roman" w:hAnsi="Times New Roman" w:cs="Times New Roman"/>
          <w:sz w:val="24"/>
          <w:szCs w:val="24"/>
        </w:rPr>
        <w:t xml:space="preserve"> </w:t>
      </w:r>
      <w:proofErr w:type="spellStart"/>
      <w:r w:rsidR="00B53D71" w:rsidRPr="00B53D71">
        <w:rPr>
          <w:rFonts w:ascii="Times New Roman" w:hAnsi="Times New Roman" w:cs="Times New Roman"/>
          <w:sz w:val="24"/>
          <w:szCs w:val="24"/>
        </w:rPr>
        <w:t>and</w:t>
      </w:r>
      <w:proofErr w:type="spellEnd"/>
      <w:r w:rsidR="00B53D71" w:rsidRPr="00B53D71">
        <w:rPr>
          <w:rFonts w:ascii="Times New Roman" w:hAnsi="Times New Roman" w:cs="Times New Roman"/>
          <w:sz w:val="24"/>
          <w:szCs w:val="24"/>
        </w:rPr>
        <w:t xml:space="preserve"> </w:t>
      </w:r>
      <w:proofErr w:type="spellStart"/>
      <w:r w:rsidR="00B53D71" w:rsidRPr="00B53D71">
        <w:rPr>
          <w:rFonts w:ascii="Times New Roman" w:hAnsi="Times New Roman" w:cs="Times New Roman"/>
          <w:sz w:val="24"/>
          <w:szCs w:val="24"/>
        </w:rPr>
        <w:t>Law</w:t>
      </w:r>
      <w:proofErr w:type="spellEnd"/>
      <w:r w:rsidR="00B53D71" w:rsidRPr="00B53D71">
        <w:rPr>
          <w:rFonts w:ascii="Times New Roman" w:hAnsi="Times New Roman" w:cs="Times New Roman"/>
          <w:sz w:val="24"/>
          <w:szCs w:val="24"/>
        </w:rPr>
        <w:t xml:space="preserve"> </w:t>
      </w:r>
      <w:proofErr w:type="spellStart"/>
      <w:r w:rsidR="00B53D71" w:rsidRPr="00B53D71">
        <w:rPr>
          <w:rFonts w:ascii="Times New Roman" w:hAnsi="Times New Roman" w:cs="Times New Roman"/>
          <w:sz w:val="24"/>
          <w:szCs w:val="24"/>
        </w:rPr>
        <w:t>Company</w:t>
      </w:r>
      <w:proofErr w:type="spellEnd"/>
      <w:r w:rsidR="00B53D71" w:rsidRPr="00B53D71">
        <w:rPr>
          <w:rFonts w:ascii="Times New Roman" w:hAnsi="Times New Roman" w:cs="Times New Roman"/>
          <w:sz w:val="24"/>
          <w:szCs w:val="24"/>
        </w:rPr>
        <w:t>"</w:t>
      </w:r>
      <w:r w:rsidR="00B53D71">
        <w:rPr>
          <w:rFonts w:ascii="Times New Roman" w:hAnsi="Times New Roman" w:cs="Times New Roman"/>
          <w:sz w:val="24"/>
          <w:szCs w:val="24"/>
        </w:rPr>
        <w:t xml:space="preserve"> sniegtās informācijas patiesumu. Pamatojoties uz iepriekš minēto, Iepirkum</w:t>
      </w:r>
      <w:r w:rsidR="00B37C39">
        <w:rPr>
          <w:rFonts w:ascii="Times New Roman" w:hAnsi="Times New Roman" w:cs="Times New Roman"/>
          <w:sz w:val="24"/>
          <w:szCs w:val="24"/>
        </w:rPr>
        <w:t>u</w:t>
      </w:r>
      <w:r w:rsidR="00B53D71">
        <w:rPr>
          <w:rFonts w:ascii="Times New Roman" w:hAnsi="Times New Roman" w:cs="Times New Roman"/>
          <w:sz w:val="24"/>
          <w:szCs w:val="24"/>
        </w:rPr>
        <w:t xml:space="preserve"> komisija secina, ka </w:t>
      </w:r>
      <w:r w:rsidR="00B53D71" w:rsidRPr="00A35B88">
        <w:rPr>
          <w:rFonts w:ascii="Times New Roman" w:hAnsi="Times New Roman" w:cs="Times New Roman"/>
          <w:sz w:val="24"/>
          <w:szCs w:val="24"/>
        </w:rPr>
        <w:t xml:space="preserve">SIA "Ķemers </w:t>
      </w:r>
      <w:proofErr w:type="spellStart"/>
      <w:r w:rsidR="00B53D71" w:rsidRPr="00A35B88">
        <w:rPr>
          <w:rFonts w:ascii="Times New Roman" w:hAnsi="Times New Roman" w:cs="Times New Roman"/>
          <w:sz w:val="24"/>
          <w:szCs w:val="24"/>
        </w:rPr>
        <w:t>Business</w:t>
      </w:r>
      <w:proofErr w:type="spellEnd"/>
      <w:r w:rsidR="00B53D71" w:rsidRPr="00A35B88">
        <w:rPr>
          <w:rFonts w:ascii="Times New Roman" w:hAnsi="Times New Roman" w:cs="Times New Roman"/>
          <w:sz w:val="24"/>
          <w:szCs w:val="24"/>
        </w:rPr>
        <w:t xml:space="preserve"> </w:t>
      </w:r>
      <w:proofErr w:type="spellStart"/>
      <w:r w:rsidR="00B53D71" w:rsidRPr="00A35B88">
        <w:rPr>
          <w:rFonts w:ascii="Times New Roman" w:hAnsi="Times New Roman" w:cs="Times New Roman"/>
          <w:sz w:val="24"/>
          <w:szCs w:val="24"/>
        </w:rPr>
        <w:t>and</w:t>
      </w:r>
      <w:proofErr w:type="spellEnd"/>
      <w:r w:rsidR="00B53D71" w:rsidRPr="00A35B88">
        <w:rPr>
          <w:rFonts w:ascii="Times New Roman" w:hAnsi="Times New Roman" w:cs="Times New Roman"/>
          <w:sz w:val="24"/>
          <w:szCs w:val="24"/>
        </w:rPr>
        <w:t xml:space="preserve"> </w:t>
      </w:r>
      <w:proofErr w:type="spellStart"/>
      <w:r w:rsidR="00B53D71" w:rsidRPr="00A35B88">
        <w:rPr>
          <w:rFonts w:ascii="Times New Roman" w:hAnsi="Times New Roman" w:cs="Times New Roman"/>
          <w:sz w:val="24"/>
          <w:szCs w:val="24"/>
        </w:rPr>
        <w:t>Law</w:t>
      </w:r>
      <w:proofErr w:type="spellEnd"/>
      <w:r w:rsidR="00B53D71" w:rsidRPr="00A35B88">
        <w:rPr>
          <w:rFonts w:ascii="Times New Roman" w:hAnsi="Times New Roman" w:cs="Times New Roman"/>
          <w:sz w:val="24"/>
          <w:szCs w:val="24"/>
        </w:rPr>
        <w:t xml:space="preserve"> </w:t>
      </w:r>
      <w:proofErr w:type="spellStart"/>
      <w:r w:rsidR="00B53D71" w:rsidRPr="00A35B88">
        <w:rPr>
          <w:rFonts w:ascii="Times New Roman" w:hAnsi="Times New Roman" w:cs="Times New Roman"/>
          <w:sz w:val="24"/>
          <w:szCs w:val="24"/>
        </w:rPr>
        <w:t>Company</w:t>
      </w:r>
      <w:proofErr w:type="spellEnd"/>
      <w:r w:rsidR="00B53D71" w:rsidRPr="00A35B88">
        <w:rPr>
          <w:rFonts w:ascii="Times New Roman" w:hAnsi="Times New Roman" w:cs="Times New Roman"/>
          <w:sz w:val="24"/>
          <w:szCs w:val="24"/>
        </w:rPr>
        <w:t>"</w:t>
      </w:r>
      <w:r w:rsidR="00B53D71">
        <w:rPr>
          <w:rFonts w:ascii="Times New Roman" w:hAnsi="Times New Roman" w:cs="Times New Roman"/>
          <w:sz w:val="24"/>
          <w:szCs w:val="24"/>
        </w:rPr>
        <w:t xml:space="preserve">  iesniegtais piedāvājums atbilst Iepirkuma nolikuma 4.1.1.apakšpunktā noteiktajām kvalifikācijas prasībām.</w:t>
      </w:r>
    </w:p>
    <w:p w:rsidR="00C63E9B" w:rsidRDefault="00B84B2E" w:rsidP="00DA3C9F">
      <w:pPr>
        <w:ind w:firstLine="720"/>
        <w:jc w:val="both"/>
        <w:rPr>
          <w:rFonts w:ascii="Times New Roman" w:hAnsi="Times New Roman" w:cs="Times New Roman"/>
          <w:sz w:val="24"/>
          <w:szCs w:val="24"/>
        </w:rPr>
      </w:pPr>
      <w:r w:rsidRPr="00B84B2E">
        <w:rPr>
          <w:rFonts w:ascii="Times New Roman" w:hAnsi="Times New Roman" w:cs="Times New Roman"/>
          <w:sz w:val="24"/>
          <w:szCs w:val="24"/>
        </w:rPr>
        <w:t>Sakarā ar</w:t>
      </w:r>
      <w:r w:rsidR="00C63E9B">
        <w:rPr>
          <w:rFonts w:ascii="Times New Roman" w:hAnsi="Times New Roman" w:cs="Times New Roman"/>
          <w:sz w:val="24"/>
          <w:szCs w:val="24"/>
        </w:rPr>
        <w:t xml:space="preserve"> to, ka </w:t>
      </w:r>
      <w:proofErr w:type="spellStart"/>
      <w:r w:rsidR="00C63E9B" w:rsidRPr="00C63E9B">
        <w:rPr>
          <w:rFonts w:ascii="Times New Roman" w:hAnsi="Times New Roman" w:cs="Times New Roman"/>
          <w:sz w:val="24"/>
          <w:szCs w:val="24"/>
        </w:rPr>
        <w:t>Estravel</w:t>
      </w:r>
      <w:proofErr w:type="spellEnd"/>
      <w:r w:rsidR="00C63E9B" w:rsidRPr="00C63E9B">
        <w:rPr>
          <w:rFonts w:ascii="Times New Roman" w:hAnsi="Times New Roman" w:cs="Times New Roman"/>
          <w:sz w:val="24"/>
          <w:szCs w:val="24"/>
        </w:rPr>
        <w:t xml:space="preserve"> </w:t>
      </w:r>
      <w:proofErr w:type="spellStart"/>
      <w:r w:rsidR="00C63E9B" w:rsidRPr="00C63E9B">
        <w:rPr>
          <w:rFonts w:ascii="Times New Roman" w:hAnsi="Times New Roman" w:cs="Times New Roman"/>
          <w:sz w:val="24"/>
          <w:szCs w:val="24"/>
        </w:rPr>
        <w:t>Latvia</w:t>
      </w:r>
      <w:proofErr w:type="spellEnd"/>
      <w:r w:rsidR="00C63E9B" w:rsidRPr="00C63E9B">
        <w:rPr>
          <w:rFonts w:ascii="Times New Roman" w:hAnsi="Times New Roman" w:cs="Times New Roman"/>
          <w:sz w:val="24"/>
          <w:szCs w:val="24"/>
        </w:rPr>
        <w:t xml:space="preserve"> – AS </w:t>
      </w:r>
      <w:proofErr w:type="spellStart"/>
      <w:r w:rsidR="00C63E9B" w:rsidRPr="00C63E9B">
        <w:rPr>
          <w:rFonts w:ascii="Times New Roman" w:hAnsi="Times New Roman" w:cs="Times New Roman"/>
          <w:sz w:val="24"/>
          <w:szCs w:val="24"/>
        </w:rPr>
        <w:t>Estravel</w:t>
      </w:r>
      <w:proofErr w:type="spellEnd"/>
      <w:r w:rsidR="00C63E9B" w:rsidRPr="00C63E9B">
        <w:rPr>
          <w:rFonts w:ascii="Times New Roman" w:hAnsi="Times New Roman" w:cs="Times New Roman"/>
          <w:sz w:val="24"/>
          <w:szCs w:val="24"/>
        </w:rPr>
        <w:t xml:space="preserve"> filiāle Latvijā nav iesniegusi apliecinājumu atbilstoši </w:t>
      </w:r>
      <w:r w:rsidR="00BC2867">
        <w:rPr>
          <w:rFonts w:ascii="Times New Roman" w:hAnsi="Times New Roman" w:cs="Times New Roman"/>
          <w:sz w:val="24"/>
          <w:szCs w:val="24"/>
        </w:rPr>
        <w:t>Iepirkuma n</w:t>
      </w:r>
      <w:r w:rsidR="00C63E9B" w:rsidRPr="00C63E9B">
        <w:rPr>
          <w:rFonts w:ascii="Times New Roman" w:hAnsi="Times New Roman" w:cs="Times New Roman"/>
          <w:sz w:val="24"/>
          <w:szCs w:val="24"/>
        </w:rPr>
        <w:t>olikuma 4.1.4.apakšpunkta otr</w:t>
      </w:r>
      <w:r w:rsidR="00DA3C9F">
        <w:rPr>
          <w:rFonts w:ascii="Times New Roman" w:hAnsi="Times New Roman" w:cs="Times New Roman"/>
          <w:sz w:val="24"/>
          <w:szCs w:val="24"/>
        </w:rPr>
        <w:t xml:space="preserve">ās daļas prasībām </w:t>
      </w:r>
      <w:r w:rsidR="00C63E9B">
        <w:rPr>
          <w:rFonts w:ascii="Times New Roman" w:hAnsi="Times New Roman" w:cs="Times New Roman"/>
          <w:sz w:val="24"/>
          <w:szCs w:val="24"/>
        </w:rPr>
        <w:t xml:space="preserve">un </w:t>
      </w:r>
      <w:r w:rsidR="00C63E9B" w:rsidRPr="00C63E9B">
        <w:rPr>
          <w:rFonts w:ascii="Times New Roman" w:hAnsi="Times New Roman" w:cs="Times New Roman"/>
          <w:sz w:val="24"/>
          <w:szCs w:val="24"/>
        </w:rPr>
        <w:t xml:space="preserve">apliecinājumu atbilstoši </w:t>
      </w:r>
      <w:r w:rsidR="00BC2867">
        <w:rPr>
          <w:rFonts w:ascii="Times New Roman" w:hAnsi="Times New Roman" w:cs="Times New Roman"/>
          <w:sz w:val="24"/>
          <w:szCs w:val="24"/>
        </w:rPr>
        <w:t>Iepirkuma n</w:t>
      </w:r>
      <w:r w:rsidR="00C63E9B" w:rsidRPr="00C63E9B">
        <w:rPr>
          <w:rFonts w:ascii="Times New Roman" w:hAnsi="Times New Roman" w:cs="Times New Roman"/>
          <w:sz w:val="24"/>
          <w:szCs w:val="24"/>
        </w:rPr>
        <w:t xml:space="preserve">olikuma 4.1.5.apakšpunkta prasībām par Iepirkuma </w:t>
      </w:r>
      <w:proofErr w:type="gramStart"/>
      <w:r w:rsidR="00C63E9B" w:rsidRPr="00C63E9B">
        <w:rPr>
          <w:rFonts w:ascii="Times New Roman" w:hAnsi="Times New Roman" w:cs="Times New Roman"/>
          <w:sz w:val="24"/>
          <w:szCs w:val="24"/>
        </w:rPr>
        <w:t>4. – 7.</w:t>
      </w:r>
      <w:proofErr w:type="gramEnd"/>
      <w:r w:rsidR="00C63E9B" w:rsidRPr="00C63E9B">
        <w:rPr>
          <w:rFonts w:ascii="Times New Roman" w:hAnsi="Times New Roman" w:cs="Times New Roman"/>
          <w:sz w:val="24"/>
          <w:szCs w:val="24"/>
        </w:rPr>
        <w:t>daļu (ieskaitot)</w:t>
      </w:r>
      <w:r w:rsidR="00DA3C9F">
        <w:rPr>
          <w:rFonts w:ascii="Times New Roman" w:hAnsi="Times New Roman" w:cs="Times New Roman"/>
          <w:sz w:val="24"/>
          <w:szCs w:val="24"/>
        </w:rPr>
        <w:t>,</w:t>
      </w:r>
      <w:r w:rsidR="00C63E9B">
        <w:rPr>
          <w:rFonts w:ascii="Times New Roman" w:hAnsi="Times New Roman" w:cs="Times New Roman"/>
          <w:sz w:val="24"/>
          <w:szCs w:val="24"/>
        </w:rPr>
        <w:t xml:space="preserve"> </w:t>
      </w:r>
      <w:r w:rsidR="00DA3C9F">
        <w:rPr>
          <w:rFonts w:ascii="Times New Roman" w:hAnsi="Times New Roman" w:cs="Times New Roman"/>
          <w:sz w:val="24"/>
          <w:szCs w:val="24"/>
        </w:rPr>
        <w:t>p</w:t>
      </w:r>
      <w:r w:rsidR="00C63E9B" w:rsidRPr="00C63E9B">
        <w:rPr>
          <w:rFonts w:ascii="Times New Roman" w:hAnsi="Times New Roman" w:cs="Times New Roman"/>
          <w:sz w:val="24"/>
          <w:szCs w:val="24"/>
        </w:rPr>
        <w:t xml:space="preserve">amatojoties uz </w:t>
      </w:r>
      <w:r w:rsidR="00DA3C9F">
        <w:rPr>
          <w:rFonts w:ascii="Times New Roman" w:hAnsi="Times New Roman" w:cs="Times New Roman"/>
          <w:sz w:val="24"/>
          <w:szCs w:val="24"/>
        </w:rPr>
        <w:t>I</w:t>
      </w:r>
      <w:r w:rsidR="00C63E9B" w:rsidRPr="00C63E9B">
        <w:rPr>
          <w:rFonts w:ascii="Times New Roman" w:hAnsi="Times New Roman" w:cs="Times New Roman"/>
          <w:sz w:val="24"/>
          <w:szCs w:val="24"/>
        </w:rPr>
        <w:t>epirkuma nolikuma 1.8.5. un 2.3.apakšpunktu, Iepirkum</w:t>
      </w:r>
      <w:r w:rsidR="00DA3C9F">
        <w:rPr>
          <w:rFonts w:ascii="Times New Roman" w:hAnsi="Times New Roman" w:cs="Times New Roman"/>
          <w:sz w:val="24"/>
          <w:szCs w:val="24"/>
        </w:rPr>
        <w:t>u</w:t>
      </w:r>
      <w:r w:rsidR="00C63E9B" w:rsidRPr="00C63E9B">
        <w:rPr>
          <w:rFonts w:ascii="Times New Roman" w:hAnsi="Times New Roman" w:cs="Times New Roman"/>
          <w:sz w:val="24"/>
          <w:szCs w:val="24"/>
        </w:rPr>
        <w:t xml:space="preserve"> komisija nol</w:t>
      </w:r>
      <w:r w:rsidR="00C63E9B">
        <w:rPr>
          <w:rFonts w:ascii="Times New Roman" w:hAnsi="Times New Roman" w:cs="Times New Roman"/>
          <w:sz w:val="24"/>
          <w:szCs w:val="24"/>
        </w:rPr>
        <w:t>e</w:t>
      </w:r>
      <w:r w:rsidR="00C63E9B" w:rsidRPr="00C63E9B">
        <w:rPr>
          <w:rFonts w:ascii="Times New Roman" w:hAnsi="Times New Roman" w:cs="Times New Roman"/>
          <w:sz w:val="24"/>
          <w:szCs w:val="24"/>
        </w:rPr>
        <w:t xml:space="preserve">mj izslēgt </w:t>
      </w:r>
      <w:proofErr w:type="spellStart"/>
      <w:r w:rsidR="00C63E9B" w:rsidRPr="00C63E9B">
        <w:rPr>
          <w:rFonts w:ascii="Times New Roman" w:hAnsi="Times New Roman" w:cs="Times New Roman"/>
          <w:sz w:val="24"/>
          <w:szCs w:val="24"/>
        </w:rPr>
        <w:t>Estravel</w:t>
      </w:r>
      <w:proofErr w:type="spellEnd"/>
      <w:r w:rsidR="00C63E9B" w:rsidRPr="00C63E9B">
        <w:rPr>
          <w:rFonts w:ascii="Times New Roman" w:hAnsi="Times New Roman" w:cs="Times New Roman"/>
          <w:sz w:val="24"/>
          <w:szCs w:val="24"/>
        </w:rPr>
        <w:t xml:space="preserve"> </w:t>
      </w:r>
      <w:proofErr w:type="spellStart"/>
      <w:r w:rsidR="00C63E9B" w:rsidRPr="00C63E9B">
        <w:rPr>
          <w:rFonts w:ascii="Times New Roman" w:hAnsi="Times New Roman" w:cs="Times New Roman"/>
          <w:sz w:val="24"/>
          <w:szCs w:val="24"/>
        </w:rPr>
        <w:t>Latvia</w:t>
      </w:r>
      <w:proofErr w:type="spellEnd"/>
      <w:r w:rsidR="00C63E9B" w:rsidRPr="00C63E9B">
        <w:rPr>
          <w:rFonts w:ascii="Times New Roman" w:hAnsi="Times New Roman" w:cs="Times New Roman"/>
          <w:sz w:val="24"/>
          <w:szCs w:val="24"/>
        </w:rPr>
        <w:t xml:space="preserve"> – AS </w:t>
      </w:r>
      <w:proofErr w:type="spellStart"/>
      <w:r w:rsidR="00C63E9B" w:rsidRPr="00C63E9B">
        <w:rPr>
          <w:rFonts w:ascii="Times New Roman" w:hAnsi="Times New Roman" w:cs="Times New Roman"/>
          <w:sz w:val="24"/>
          <w:szCs w:val="24"/>
        </w:rPr>
        <w:t>Estravel</w:t>
      </w:r>
      <w:proofErr w:type="spellEnd"/>
      <w:r w:rsidR="00C63E9B" w:rsidRPr="00C63E9B">
        <w:rPr>
          <w:rFonts w:ascii="Times New Roman" w:hAnsi="Times New Roman" w:cs="Times New Roman"/>
          <w:sz w:val="24"/>
          <w:szCs w:val="24"/>
        </w:rPr>
        <w:t xml:space="preserve"> filiāle Latvijā no tālākas piedāvājuma vērtēšanas, jo Iepirkumu komisija nevar pārliecināties par pretendenta atbilstību </w:t>
      </w:r>
      <w:r w:rsidR="00DA3C9F">
        <w:rPr>
          <w:rFonts w:ascii="Times New Roman" w:hAnsi="Times New Roman" w:cs="Times New Roman"/>
          <w:sz w:val="24"/>
          <w:szCs w:val="24"/>
        </w:rPr>
        <w:t xml:space="preserve">Iepirkuma </w:t>
      </w:r>
      <w:r w:rsidR="00C63E9B" w:rsidRPr="00C63E9B">
        <w:rPr>
          <w:rFonts w:ascii="Times New Roman" w:hAnsi="Times New Roman" w:cs="Times New Roman"/>
          <w:sz w:val="24"/>
          <w:szCs w:val="24"/>
        </w:rPr>
        <w:t>nolikuma prasībām.</w:t>
      </w:r>
    </w:p>
    <w:p w:rsidR="00B84B2E" w:rsidRDefault="00C63E9B" w:rsidP="00DA3C9F">
      <w:pPr>
        <w:ind w:firstLine="720"/>
        <w:jc w:val="both"/>
        <w:rPr>
          <w:rFonts w:ascii="Times New Roman" w:hAnsi="Times New Roman" w:cs="Times New Roman"/>
          <w:sz w:val="24"/>
          <w:szCs w:val="24"/>
        </w:rPr>
      </w:pPr>
      <w:r>
        <w:rPr>
          <w:rFonts w:ascii="Times New Roman" w:hAnsi="Times New Roman" w:cs="Times New Roman"/>
          <w:sz w:val="24"/>
          <w:szCs w:val="24"/>
        </w:rPr>
        <w:t xml:space="preserve">Tāpat, tā kā </w:t>
      </w:r>
      <w:r w:rsidRPr="00C63E9B">
        <w:rPr>
          <w:rFonts w:ascii="Times New Roman" w:hAnsi="Times New Roman" w:cs="Times New Roman"/>
          <w:sz w:val="24"/>
          <w:szCs w:val="24"/>
        </w:rPr>
        <w:t>SIA "3K MANAGEMENT" nav iesniegusi apliecinājumu atbilstoši Nolikuma 4.1.5.apakšpunkta prasībām par Iepirkuma 1., 2., 8. un 9.daļu</w:t>
      </w:r>
      <w:r>
        <w:rPr>
          <w:rFonts w:ascii="Times New Roman" w:hAnsi="Times New Roman" w:cs="Times New Roman"/>
          <w:sz w:val="24"/>
          <w:szCs w:val="24"/>
        </w:rPr>
        <w:t>, p</w:t>
      </w:r>
      <w:r w:rsidRPr="00C63E9B">
        <w:rPr>
          <w:rFonts w:ascii="Times New Roman" w:hAnsi="Times New Roman" w:cs="Times New Roman"/>
          <w:sz w:val="24"/>
          <w:szCs w:val="24"/>
        </w:rPr>
        <w:t>amatojoties uz iepirkuma nolikuma 1.8.5. un 2.3.apakšpunktu, Iepirkum</w:t>
      </w:r>
      <w:r w:rsidR="00DA3C9F">
        <w:rPr>
          <w:rFonts w:ascii="Times New Roman" w:hAnsi="Times New Roman" w:cs="Times New Roman"/>
          <w:sz w:val="24"/>
          <w:szCs w:val="24"/>
        </w:rPr>
        <w:t>u</w:t>
      </w:r>
      <w:r w:rsidRPr="00C63E9B">
        <w:rPr>
          <w:rFonts w:ascii="Times New Roman" w:hAnsi="Times New Roman" w:cs="Times New Roman"/>
          <w:sz w:val="24"/>
          <w:szCs w:val="24"/>
        </w:rPr>
        <w:t xml:space="preserve"> komisija nol</w:t>
      </w:r>
      <w:r>
        <w:rPr>
          <w:rFonts w:ascii="Times New Roman" w:hAnsi="Times New Roman" w:cs="Times New Roman"/>
          <w:sz w:val="24"/>
          <w:szCs w:val="24"/>
        </w:rPr>
        <w:t>e</w:t>
      </w:r>
      <w:r w:rsidRPr="00C63E9B">
        <w:rPr>
          <w:rFonts w:ascii="Times New Roman" w:hAnsi="Times New Roman" w:cs="Times New Roman"/>
          <w:sz w:val="24"/>
          <w:szCs w:val="24"/>
        </w:rPr>
        <w:t xml:space="preserve">mj izslēgt SIA "3K MANAGEMENT" no tālākas piedāvājuma vērtēšanas, jo Iepirkumu komisija nevar pārliecināties par pretendenta atbilstību </w:t>
      </w:r>
      <w:r w:rsidR="00DA3C9F">
        <w:rPr>
          <w:rFonts w:ascii="Times New Roman" w:hAnsi="Times New Roman" w:cs="Times New Roman"/>
          <w:sz w:val="24"/>
          <w:szCs w:val="24"/>
        </w:rPr>
        <w:t xml:space="preserve">Iepirkuma </w:t>
      </w:r>
      <w:r w:rsidRPr="00C63E9B">
        <w:rPr>
          <w:rFonts w:ascii="Times New Roman" w:hAnsi="Times New Roman" w:cs="Times New Roman"/>
          <w:sz w:val="24"/>
          <w:szCs w:val="24"/>
        </w:rPr>
        <w:t>nolikuma prasībām.</w:t>
      </w:r>
    </w:p>
    <w:p w:rsidR="00AA7AA5" w:rsidRDefault="00CC16B7" w:rsidP="00C5116E">
      <w:pPr>
        <w:ind w:firstLine="720"/>
        <w:jc w:val="both"/>
        <w:rPr>
          <w:rFonts w:ascii="Times New Roman" w:hAnsi="Times New Roman" w:cs="Times New Roman"/>
          <w:sz w:val="24"/>
          <w:szCs w:val="24"/>
        </w:rPr>
      </w:pPr>
      <w:r>
        <w:rPr>
          <w:rFonts w:ascii="Times New Roman" w:hAnsi="Times New Roman" w:cs="Times New Roman"/>
          <w:sz w:val="24"/>
          <w:szCs w:val="24"/>
        </w:rPr>
        <w:t xml:space="preserve">Iepirkumu komisija turpina vērtēt pretendentu </w:t>
      </w:r>
      <w:r w:rsidRPr="00C95B4B">
        <w:rPr>
          <w:rFonts w:ascii="Times New Roman" w:hAnsi="Times New Roman" w:cs="Times New Roman"/>
          <w:sz w:val="24"/>
          <w:szCs w:val="24"/>
        </w:rPr>
        <w:t xml:space="preserve">SIA "Ķemers </w:t>
      </w:r>
      <w:proofErr w:type="spellStart"/>
      <w:r w:rsidRPr="00C95B4B">
        <w:rPr>
          <w:rFonts w:ascii="Times New Roman" w:hAnsi="Times New Roman" w:cs="Times New Roman"/>
          <w:sz w:val="24"/>
          <w:szCs w:val="24"/>
        </w:rPr>
        <w:t>Business</w:t>
      </w:r>
      <w:proofErr w:type="spellEnd"/>
      <w:r w:rsidRPr="00C95B4B">
        <w:rPr>
          <w:rFonts w:ascii="Times New Roman" w:hAnsi="Times New Roman" w:cs="Times New Roman"/>
          <w:sz w:val="24"/>
          <w:szCs w:val="24"/>
        </w:rPr>
        <w:t xml:space="preserve"> </w:t>
      </w:r>
      <w:proofErr w:type="spellStart"/>
      <w:r w:rsidRPr="00C95B4B">
        <w:rPr>
          <w:rFonts w:ascii="Times New Roman" w:hAnsi="Times New Roman" w:cs="Times New Roman"/>
          <w:sz w:val="24"/>
          <w:szCs w:val="24"/>
        </w:rPr>
        <w:t>and</w:t>
      </w:r>
      <w:proofErr w:type="spellEnd"/>
      <w:r w:rsidRPr="00C95B4B">
        <w:rPr>
          <w:rFonts w:ascii="Times New Roman" w:hAnsi="Times New Roman" w:cs="Times New Roman"/>
          <w:sz w:val="24"/>
          <w:szCs w:val="24"/>
        </w:rPr>
        <w:t xml:space="preserve"> </w:t>
      </w:r>
      <w:proofErr w:type="spellStart"/>
      <w:r w:rsidRPr="00C95B4B">
        <w:rPr>
          <w:rFonts w:ascii="Times New Roman" w:hAnsi="Times New Roman" w:cs="Times New Roman"/>
          <w:sz w:val="24"/>
          <w:szCs w:val="24"/>
        </w:rPr>
        <w:t>Law</w:t>
      </w:r>
      <w:proofErr w:type="spellEnd"/>
      <w:r w:rsidRPr="00C95B4B">
        <w:rPr>
          <w:rFonts w:ascii="Times New Roman" w:hAnsi="Times New Roman" w:cs="Times New Roman"/>
          <w:sz w:val="24"/>
          <w:szCs w:val="24"/>
        </w:rPr>
        <w:t xml:space="preserve"> </w:t>
      </w:r>
      <w:proofErr w:type="spellStart"/>
      <w:r w:rsidRPr="00C95B4B">
        <w:rPr>
          <w:rFonts w:ascii="Times New Roman" w:hAnsi="Times New Roman" w:cs="Times New Roman"/>
          <w:sz w:val="24"/>
          <w:szCs w:val="24"/>
        </w:rPr>
        <w:t>Company</w:t>
      </w:r>
      <w:proofErr w:type="spellEnd"/>
      <w:r w:rsidRPr="00C95B4B">
        <w:rPr>
          <w:rFonts w:ascii="Times New Roman" w:hAnsi="Times New Roman" w:cs="Times New Roman"/>
          <w:sz w:val="24"/>
          <w:szCs w:val="24"/>
        </w:rPr>
        <w:t>"</w:t>
      </w:r>
      <w:r>
        <w:rPr>
          <w:rFonts w:ascii="Times New Roman" w:hAnsi="Times New Roman" w:cs="Times New Roman"/>
          <w:sz w:val="24"/>
          <w:szCs w:val="24"/>
        </w:rPr>
        <w:t xml:space="preserve"> un </w:t>
      </w:r>
      <w:r w:rsidRPr="00C95B4B">
        <w:rPr>
          <w:rFonts w:ascii="Times New Roman" w:hAnsi="Times New Roman" w:cs="Times New Roman"/>
          <w:sz w:val="24"/>
          <w:szCs w:val="24"/>
        </w:rPr>
        <w:t xml:space="preserve">SIA "D.N.H." </w:t>
      </w:r>
      <w:r>
        <w:rPr>
          <w:rFonts w:ascii="Times New Roman" w:hAnsi="Times New Roman" w:cs="Times New Roman"/>
          <w:sz w:val="24"/>
          <w:szCs w:val="24"/>
        </w:rPr>
        <w:t>piedāvājumus</w:t>
      </w:r>
      <w:r w:rsidRPr="000707B4">
        <w:rPr>
          <w:rFonts w:ascii="Times New Roman" w:hAnsi="Times New Roman" w:cs="Times New Roman"/>
          <w:sz w:val="24"/>
          <w:szCs w:val="24"/>
        </w:rPr>
        <w:t>.</w:t>
      </w:r>
    </w:p>
    <w:p w:rsidR="00AA7AA5" w:rsidRPr="00AA7AA5" w:rsidRDefault="00AA7AA5" w:rsidP="00AA7AA5">
      <w:pPr>
        <w:ind w:firstLine="720"/>
        <w:jc w:val="both"/>
        <w:rPr>
          <w:rFonts w:ascii="Times New Roman" w:hAnsi="Times New Roman" w:cs="Times New Roman"/>
          <w:b/>
          <w:sz w:val="24"/>
          <w:szCs w:val="24"/>
          <w:u w:val="single"/>
        </w:rPr>
      </w:pPr>
      <w:r w:rsidRPr="00AA7AA5">
        <w:rPr>
          <w:rFonts w:ascii="Times New Roman" w:hAnsi="Times New Roman" w:cs="Times New Roman"/>
          <w:b/>
          <w:sz w:val="24"/>
          <w:szCs w:val="24"/>
          <w:u w:val="single"/>
        </w:rPr>
        <w:t>Pretendentu piedāvājumu izvēles kritēriji:</w:t>
      </w:r>
    </w:p>
    <w:p w:rsidR="00AA7AA5" w:rsidRPr="00AA7AA5" w:rsidRDefault="00AA7AA5" w:rsidP="00AA7AA5">
      <w:pPr>
        <w:ind w:firstLine="720"/>
        <w:jc w:val="both"/>
        <w:rPr>
          <w:rFonts w:ascii="Times New Roman" w:hAnsi="Times New Roman" w:cs="Times New Roman"/>
          <w:sz w:val="24"/>
          <w:szCs w:val="24"/>
        </w:rPr>
      </w:pPr>
      <w:r w:rsidRPr="00AA7AA5">
        <w:rPr>
          <w:rFonts w:ascii="Times New Roman" w:hAnsi="Times New Roman" w:cs="Times New Roman"/>
          <w:sz w:val="24"/>
          <w:szCs w:val="24"/>
        </w:rPr>
        <w:t xml:space="preserve">Piedāvājuma izvēles kritērijs ir piedāvājums, kas atbilst nolikumā minētajām prasībām un Tehniskajai specifikācijai ar viszemāko kopējo pakalpojuma līgumcenu EUR bez PVN katrā Iepirkuma daļā atsevišķi. </w:t>
      </w:r>
      <w:proofErr w:type="gramStart"/>
      <w:r w:rsidRPr="00AA7AA5">
        <w:rPr>
          <w:rFonts w:ascii="Times New Roman" w:hAnsi="Times New Roman" w:cs="Times New Roman"/>
          <w:sz w:val="24"/>
          <w:szCs w:val="24"/>
        </w:rPr>
        <w:t>Kopējā līgumcenā,</w:t>
      </w:r>
      <w:proofErr w:type="gramEnd"/>
      <w:r w:rsidRPr="00AA7AA5">
        <w:rPr>
          <w:rFonts w:ascii="Times New Roman" w:hAnsi="Times New Roman" w:cs="Times New Roman"/>
          <w:sz w:val="24"/>
          <w:szCs w:val="24"/>
        </w:rPr>
        <w:t xml:space="preserve"> ir jāiekļauj visi nodokļi (izņemot pievienotās vērtības nodokli; turpmāk – PVN) un izdevumi, tajā skaitā transporta pakalpojumi, piegādes, u.c. izmaksas, kas saistītas ar Tehniskajā specifikācijā nenorādītu un neparedzētu darbu izpildi, kas saistīti ar Iepirkuma priekšmetu īstenošanu noteiktajā termiņā un vietā;</w:t>
      </w:r>
    </w:p>
    <w:p w:rsidR="00AA7AA5" w:rsidRDefault="00AA7AA5" w:rsidP="00AA7AA5">
      <w:pPr>
        <w:ind w:firstLine="720"/>
        <w:jc w:val="both"/>
        <w:rPr>
          <w:rFonts w:ascii="Times New Roman" w:hAnsi="Times New Roman" w:cs="Times New Roman"/>
          <w:sz w:val="24"/>
          <w:szCs w:val="24"/>
        </w:rPr>
        <w:sectPr w:rsidR="00AA7AA5" w:rsidSect="0089768B">
          <w:headerReference w:type="default" r:id="rId8"/>
          <w:footerReference w:type="default" r:id="rId9"/>
          <w:pgSz w:w="11906" w:h="16838"/>
          <w:pgMar w:top="1134" w:right="1134" w:bottom="1134" w:left="1701" w:header="709" w:footer="709" w:gutter="0"/>
          <w:cols w:space="708"/>
          <w:docGrid w:linePitch="360"/>
        </w:sectPr>
      </w:pPr>
      <w:r w:rsidRPr="00AA7AA5">
        <w:rPr>
          <w:rFonts w:ascii="Times New Roman" w:hAnsi="Times New Roman" w:cs="Times New Roman"/>
          <w:sz w:val="24"/>
          <w:szCs w:val="24"/>
        </w:rPr>
        <w:t>Ja divu vai vairāk piedāvājumu novērtējums ir vienāds, pretendentu, kuram piešķiramas līguma slēgšanas tiesības izvēlas, rīkojot izlozi starp šiem pretendentie</w:t>
      </w:r>
      <w:r w:rsidR="00BC2867">
        <w:rPr>
          <w:rFonts w:ascii="Times New Roman" w:hAnsi="Times New Roman" w:cs="Times New Roman"/>
          <w:sz w:val="24"/>
          <w:szCs w:val="24"/>
        </w:rPr>
        <w:t>m.</w:t>
      </w:r>
    </w:p>
    <w:p w:rsidR="00CC16B7" w:rsidRDefault="00CC16B7" w:rsidP="00CC16B7">
      <w:pPr>
        <w:pStyle w:val="BodyTextIndent"/>
        <w:spacing w:after="0"/>
        <w:ind w:left="0"/>
        <w:jc w:val="both"/>
        <w:rPr>
          <w:b/>
        </w:rPr>
      </w:pPr>
      <w:r w:rsidRPr="00A81FD8">
        <w:rPr>
          <w:b/>
        </w:rPr>
        <w:lastRenderedPageBreak/>
        <w:t>Pretendentu finanšu piedāvājumi, summas EUR:</w:t>
      </w:r>
    </w:p>
    <w:p w:rsidR="00CC16B7" w:rsidRPr="00A81FD8" w:rsidRDefault="00CC16B7" w:rsidP="00CC16B7">
      <w:pPr>
        <w:pStyle w:val="BodyTextIndent"/>
        <w:spacing w:after="0"/>
        <w:ind w:left="0"/>
        <w:jc w:val="both"/>
        <w:rPr>
          <w:b/>
        </w:rPr>
      </w:pPr>
    </w:p>
    <w:tbl>
      <w:tblPr>
        <w:tblW w:w="14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417"/>
        <w:gridCol w:w="997"/>
        <w:gridCol w:w="1276"/>
        <w:gridCol w:w="1134"/>
        <w:gridCol w:w="1276"/>
        <w:gridCol w:w="1026"/>
        <w:gridCol w:w="1417"/>
        <w:gridCol w:w="1418"/>
        <w:gridCol w:w="1417"/>
      </w:tblGrid>
      <w:tr w:rsidR="00CC16B7" w:rsidRPr="00747FDF" w:rsidTr="00B53D71">
        <w:trPr>
          <w:trHeight w:val="192"/>
          <w:jc w:val="center"/>
        </w:trPr>
        <w:tc>
          <w:tcPr>
            <w:tcW w:w="3114" w:type="dxa"/>
            <w:vMerge w:val="restart"/>
            <w:vAlign w:val="center"/>
          </w:tcPr>
          <w:p w:rsidR="00CC16B7" w:rsidRPr="00EF4958" w:rsidRDefault="00CC16B7" w:rsidP="009243AE">
            <w:pPr>
              <w:tabs>
                <w:tab w:val="left" w:pos="3686"/>
                <w:tab w:val="left" w:pos="6237"/>
              </w:tabs>
              <w:autoSpaceDE w:val="0"/>
              <w:autoSpaceDN w:val="0"/>
              <w:adjustRightInd w:val="0"/>
              <w:ind w:right="-2"/>
              <w:jc w:val="center"/>
              <w:rPr>
                <w:rFonts w:ascii="Times New Roman" w:hAnsi="Times New Roman" w:cs="Times New Roman"/>
                <w:b/>
                <w:bCs/>
                <w:sz w:val="24"/>
                <w:szCs w:val="24"/>
              </w:rPr>
            </w:pPr>
            <w:r w:rsidRPr="00EF4958">
              <w:rPr>
                <w:rFonts w:ascii="Times New Roman" w:hAnsi="Times New Roman" w:cs="Times New Roman"/>
                <w:b/>
                <w:bCs/>
                <w:sz w:val="24"/>
                <w:szCs w:val="24"/>
              </w:rPr>
              <w:t>Pretendents</w:t>
            </w:r>
          </w:p>
        </w:tc>
        <w:tc>
          <w:tcPr>
            <w:tcW w:w="11378" w:type="dxa"/>
            <w:gridSpan w:val="9"/>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Daļas numurs un līgumcena paredzamajam pakalpojuma apjomam, EUR bez pievienotās vērtības nodokļa (piedāvājuma izvēles kritērijs)</w:t>
            </w:r>
          </w:p>
        </w:tc>
      </w:tr>
      <w:tr w:rsidR="00CC16B7" w:rsidRPr="009874ED" w:rsidTr="00B53D71">
        <w:trPr>
          <w:trHeight w:val="520"/>
          <w:jc w:val="center"/>
        </w:trPr>
        <w:tc>
          <w:tcPr>
            <w:tcW w:w="3114" w:type="dxa"/>
            <w:vMerge/>
            <w:vAlign w:val="center"/>
          </w:tcPr>
          <w:p w:rsidR="00CC16B7" w:rsidRPr="00EF4958" w:rsidRDefault="00CC16B7" w:rsidP="009243AE">
            <w:pPr>
              <w:tabs>
                <w:tab w:val="left" w:pos="3686"/>
                <w:tab w:val="left" w:pos="6237"/>
              </w:tabs>
              <w:autoSpaceDE w:val="0"/>
              <w:autoSpaceDN w:val="0"/>
              <w:adjustRightInd w:val="0"/>
              <w:ind w:right="-2"/>
              <w:jc w:val="center"/>
              <w:rPr>
                <w:rFonts w:ascii="Times New Roman" w:hAnsi="Times New Roman" w:cs="Times New Roman"/>
                <w:b/>
                <w:bCs/>
                <w:sz w:val="24"/>
                <w:szCs w:val="24"/>
              </w:rPr>
            </w:pPr>
          </w:p>
        </w:tc>
        <w:tc>
          <w:tcPr>
            <w:tcW w:w="1417"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1.</w:t>
            </w:r>
          </w:p>
        </w:tc>
        <w:tc>
          <w:tcPr>
            <w:tcW w:w="997"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2.</w:t>
            </w:r>
          </w:p>
        </w:tc>
        <w:tc>
          <w:tcPr>
            <w:tcW w:w="1276"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3.</w:t>
            </w:r>
          </w:p>
        </w:tc>
        <w:tc>
          <w:tcPr>
            <w:tcW w:w="1134"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4.</w:t>
            </w:r>
          </w:p>
        </w:tc>
        <w:tc>
          <w:tcPr>
            <w:tcW w:w="1276"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5.</w:t>
            </w:r>
          </w:p>
        </w:tc>
        <w:tc>
          <w:tcPr>
            <w:tcW w:w="1026"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6.</w:t>
            </w: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tc>
        <w:tc>
          <w:tcPr>
            <w:tcW w:w="1417"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7.</w:t>
            </w: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tc>
        <w:tc>
          <w:tcPr>
            <w:tcW w:w="1418"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8.</w:t>
            </w: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tc>
        <w:tc>
          <w:tcPr>
            <w:tcW w:w="1417" w:type="dxa"/>
            <w:vAlign w:val="center"/>
          </w:tcPr>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r w:rsidRPr="00EF4958">
              <w:rPr>
                <w:rFonts w:ascii="Times New Roman" w:hAnsi="Times New Roman" w:cs="Times New Roman"/>
                <w:b/>
                <w:sz w:val="24"/>
                <w:szCs w:val="24"/>
              </w:rPr>
              <w:t>9.</w:t>
            </w:r>
          </w:p>
          <w:p w:rsidR="00CC16B7" w:rsidRPr="00EF4958" w:rsidRDefault="00CC16B7" w:rsidP="009243AE">
            <w:pPr>
              <w:tabs>
                <w:tab w:val="left" w:pos="3686"/>
                <w:tab w:val="left" w:pos="6237"/>
              </w:tabs>
              <w:ind w:right="-2"/>
              <w:jc w:val="center"/>
              <w:rPr>
                <w:rFonts w:ascii="Times New Roman" w:hAnsi="Times New Roman" w:cs="Times New Roman"/>
                <w:b/>
                <w:sz w:val="24"/>
                <w:szCs w:val="24"/>
              </w:rPr>
            </w:pPr>
          </w:p>
        </w:tc>
      </w:tr>
      <w:tr w:rsidR="00CC16B7" w:rsidRPr="009874ED" w:rsidTr="00B53D71">
        <w:trPr>
          <w:trHeight w:val="390"/>
          <w:jc w:val="center"/>
        </w:trPr>
        <w:tc>
          <w:tcPr>
            <w:tcW w:w="3114" w:type="dxa"/>
            <w:tcBorders>
              <w:right w:val="single" w:sz="4" w:space="0" w:color="auto"/>
            </w:tcBorders>
          </w:tcPr>
          <w:p w:rsidR="00CC16B7" w:rsidRPr="00EF4958" w:rsidRDefault="00CC16B7" w:rsidP="00B53D71">
            <w:pPr>
              <w:jc w:val="center"/>
              <w:rPr>
                <w:rFonts w:ascii="Times New Roman" w:hAnsi="Times New Roman" w:cs="Times New Roman"/>
                <w:sz w:val="24"/>
                <w:szCs w:val="24"/>
              </w:rPr>
            </w:pPr>
            <w:r w:rsidRPr="00EF4958">
              <w:rPr>
                <w:rFonts w:ascii="Times New Roman" w:hAnsi="Times New Roman" w:cs="Times New Roman"/>
                <w:sz w:val="24"/>
                <w:szCs w:val="24"/>
              </w:rPr>
              <w:t xml:space="preserve">SIA "Ķemers </w:t>
            </w:r>
            <w:proofErr w:type="spellStart"/>
            <w:r w:rsidRPr="00EF4958">
              <w:rPr>
                <w:rFonts w:ascii="Times New Roman" w:hAnsi="Times New Roman" w:cs="Times New Roman"/>
                <w:sz w:val="24"/>
                <w:szCs w:val="24"/>
              </w:rPr>
              <w:t>Business</w:t>
            </w:r>
            <w:proofErr w:type="spellEnd"/>
            <w:r w:rsidRPr="00EF4958">
              <w:rPr>
                <w:rFonts w:ascii="Times New Roman" w:hAnsi="Times New Roman" w:cs="Times New Roman"/>
                <w:sz w:val="24"/>
                <w:szCs w:val="24"/>
              </w:rPr>
              <w:t xml:space="preserve"> </w:t>
            </w:r>
            <w:proofErr w:type="spellStart"/>
            <w:r w:rsidRPr="00EF4958">
              <w:rPr>
                <w:rFonts w:ascii="Times New Roman" w:hAnsi="Times New Roman" w:cs="Times New Roman"/>
                <w:sz w:val="24"/>
                <w:szCs w:val="24"/>
              </w:rPr>
              <w:t>and</w:t>
            </w:r>
            <w:proofErr w:type="spellEnd"/>
            <w:r w:rsidRPr="00EF4958">
              <w:rPr>
                <w:rFonts w:ascii="Times New Roman" w:hAnsi="Times New Roman" w:cs="Times New Roman"/>
                <w:sz w:val="24"/>
                <w:szCs w:val="24"/>
              </w:rPr>
              <w:t xml:space="preserve"> </w:t>
            </w:r>
            <w:proofErr w:type="spellStart"/>
            <w:r w:rsidRPr="00EF4958">
              <w:rPr>
                <w:rFonts w:ascii="Times New Roman" w:hAnsi="Times New Roman" w:cs="Times New Roman"/>
                <w:sz w:val="24"/>
                <w:szCs w:val="24"/>
              </w:rPr>
              <w:t>Law</w:t>
            </w:r>
            <w:proofErr w:type="spellEnd"/>
            <w:r w:rsidRPr="00EF4958">
              <w:rPr>
                <w:rFonts w:ascii="Times New Roman" w:hAnsi="Times New Roman" w:cs="Times New Roman"/>
                <w:sz w:val="24"/>
                <w:szCs w:val="24"/>
              </w:rPr>
              <w:t xml:space="preserve"> </w:t>
            </w:r>
            <w:proofErr w:type="spellStart"/>
            <w:r w:rsidRPr="00EF4958">
              <w:rPr>
                <w:rFonts w:ascii="Times New Roman" w:hAnsi="Times New Roman" w:cs="Times New Roman"/>
                <w:sz w:val="24"/>
                <w:szCs w:val="24"/>
              </w:rPr>
              <w:t>Company</w:t>
            </w:r>
            <w:proofErr w:type="spellEnd"/>
            <w:r w:rsidRPr="00EF4958">
              <w:rPr>
                <w:rFonts w:ascii="Times New Roman" w:hAnsi="Times New Roman" w:cs="Times New Roman"/>
                <w:sz w:val="24"/>
                <w:szCs w:val="24"/>
              </w:rPr>
              <w:t>"</w:t>
            </w:r>
          </w:p>
        </w:tc>
        <w:tc>
          <w:tcPr>
            <w:tcW w:w="1417" w:type="dxa"/>
            <w:vAlign w:val="center"/>
          </w:tcPr>
          <w:p w:rsidR="00CC16B7" w:rsidRPr="00EF4958" w:rsidRDefault="00CC16B7" w:rsidP="009243AE">
            <w:pPr>
              <w:tabs>
                <w:tab w:val="left" w:pos="3072"/>
                <w:tab w:val="left" w:pos="3119"/>
              </w:tabs>
              <w:ind w:right="-47"/>
              <w:jc w:val="center"/>
              <w:rPr>
                <w:rFonts w:ascii="Times New Roman" w:hAnsi="Times New Roman" w:cs="Times New Roman"/>
                <w:sz w:val="24"/>
                <w:szCs w:val="24"/>
              </w:rPr>
            </w:pPr>
            <w:r w:rsidRPr="00EF4958">
              <w:rPr>
                <w:rFonts w:ascii="Times New Roman" w:hAnsi="Times New Roman" w:cs="Times New Roman"/>
                <w:sz w:val="24"/>
                <w:szCs w:val="24"/>
              </w:rPr>
              <w:t>29 721,65</w:t>
            </w:r>
          </w:p>
        </w:tc>
        <w:tc>
          <w:tcPr>
            <w:tcW w:w="997" w:type="dxa"/>
            <w:vAlign w:val="center"/>
          </w:tcPr>
          <w:p w:rsidR="00CC16B7" w:rsidRPr="00EF4958" w:rsidRDefault="00CC16B7" w:rsidP="009243AE">
            <w:pPr>
              <w:tabs>
                <w:tab w:val="left" w:pos="3072"/>
                <w:tab w:val="left" w:pos="3119"/>
              </w:tabs>
              <w:ind w:right="-47"/>
              <w:jc w:val="center"/>
              <w:rPr>
                <w:rFonts w:ascii="Times New Roman" w:hAnsi="Times New Roman" w:cs="Times New Roman"/>
                <w:sz w:val="24"/>
                <w:szCs w:val="24"/>
              </w:rPr>
            </w:pPr>
          </w:p>
        </w:tc>
        <w:tc>
          <w:tcPr>
            <w:tcW w:w="1276" w:type="dxa"/>
            <w:vAlign w:val="center"/>
          </w:tcPr>
          <w:p w:rsidR="00CC16B7" w:rsidRPr="00EF4958" w:rsidRDefault="00CC16B7" w:rsidP="009243AE">
            <w:pPr>
              <w:tabs>
                <w:tab w:val="left" w:pos="3072"/>
                <w:tab w:val="left" w:pos="3119"/>
              </w:tabs>
              <w:ind w:right="-47"/>
              <w:jc w:val="center"/>
              <w:rPr>
                <w:rFonts w:ascii="Times New Roman" w:hAnsi="Times New Roman" w:cs="Times New Roman"/>
                <w:sz w:val="24"/>
                <w:szCs w:val="24"/>
              </w:rPr>
            </w:pPr>
          </w:p>
        </w:tc>
        <w:tc>
          <w:tcPr>
            <w:tcW w:w="1134" w:type="dxa"/>
            <w:vAlign w:val="center"/>
          </w:tcPr>
          <w:p w:rsidR="00CC16B7" w:rsidRPr="00EF4958" w:rsidRDefault="00CC16B7" w:rsidP="009243AE">
            <w:pPr>
              <w:tabs>
                <w:tab w:val="left" w:pos="3072"/>
                <w:tab w:val="left" w:pos="3119"/>
              </w:tabs>
              <w:ind w:right="-47"/>
              <w:jc w:val="center"/>
              <w:rPr>
                <w:rFonts w:ascii="Times New Roman" w:hAnsi="Times New Roman" w:cs="Times New Roman"/>
                <w:sz w:val="24"/>
                <w:szCs w:val="24"/>
              </w:rPr>
            </w:pPr>
            <w:r w:rsidRPr="00EF4958">
              <w:rPr>
                <w:rFonts w:ascii="Times New Roman" w:hAnsi="Times New Roman" w:cs="Times New Roman"/>
                <w:sz w:val="24"/>
                <w:szCs w:val="24"/>
              </w:rPr>
              <w:t>3850,00</w:t>
            </w:r>
          </w:p>
        </w:tc>
        <w:tc>
          <w:tcPr>
            <w:tcW w:w="1276" w:type="dxa"/>
            <w:vAlign w:val="center"/>
          </w:tcPr>
          <w:p w:rsidR="00CC16B7" w:rsidRPr="00EF4958" w:rsidRDefault="00CC16B7" w:rsidP="009243AE">
            <w:pPr>
              <w:tabs>
                <w:tab w:val="left" w:pos="3072"/>
                <w:tab w:val="left" w:pos="3119"/>
              </w:tabs>
              <w:ind w:right="-47"/>
              <w:jc w:val="center"/>
              <w:rPr>
                <w:rFonts w:ascii="Times New Roman" w:hAnsi="Times New Roman" w:cs="Times New Roman"/>
                <w:sz w:val="24"/>
                <w:szCs w:val="24"/>
              </w:rPr>
            </w:pPr>
            <w:r w:rsidRPr="00EF4958">
              <w:rPr>
                <w:rFonts w:ascii="Times New Roman" w:hAnsi="Times New Roman" w:cs="Times New Roman"/>
                <w:sz w:val="24"/>
                <w:szCs w:val="24"/>
              </w:rPr>
              <w:t>3850,00</w:t>
            </w:r>
          </w:p>
        </w:tc>
        <w:tc>
          <w:tcPr>
            <w:tcW w:w="1026" w:type="dxa"/>
            <w:tcBorders>
              <w:right w:val="single" w:sz="4" w:space="0" w:color="auto"/>
            </w:tcBorders>
            <w:vAlign w:val="center"/>
          </w:tcPr>
          <w:p w:rsidR="00CC16B7" w:rsidRPr="00EF4958" w:rsidRDefault="00CC16B7" w:rsidP="009243AE">
            <w:pPr>
              <w:tabs>
                <w:tab w:val="left" w:pos="3686"/>
                <w:tab w:val="left" w:pos="6237"/>
              </w:tabs>
              <w:ind w:left="-108" w:right="-2"/>
              <w:jc w:val="center"/>
              <w:rPr>
                <w:rFonts w:ascii="Times New Roman" w:hAnsi="Times New Roman" w:cs="Times New Roman"/>
                <w:sz w:val="24"/>
                <w:szCs w:val="24"/>
              </w:rPr>
            </w:pPr>
            <w:r w:rsidRPr="00EF4958">
              <w:rPr>
                <w:rFonts w:ascii="Times New Roman" w:hAnsi="Times New Roman" w:cs="Times New Roman"/>
                <w:sz w:val="24"/>
                <w:szCs w:val="24"/>
              </w:rPr>
              <w:t>3750,00</w:t>
            </w:r>
          </w:p>
        </w:tc>
        <w:tc>
          <w:tcPr>
            <w:tcW w:w="1417" w:type="dxa"/>
            <w:tcBorders>
              <w:right w:val="single" w:sz="4" w:space="0" w:color="auto"/>
            </w:tcBorders>
            <w:vAlign w:val="center"/>
          </w:tcPr>
          <w:p w:rsidR="00CC16B7" w:rsidRPr="00EF4958" w:rsidRDefault="00CC16B7" w:rsidP="009243AE">
            <w:pPr>
              <w:tabs>
                <w:tab w:val="left" w:pos="3686"/>
                <w:tab w:val="left" w:pos="6237"/>
              </w:tabs>
              <w:ind w:left="-108" w:right="-2"/>
              <w:jc w:val="center"/>
              <w:rPr>
                <w:rFonts w:ascii="Times New Roman" w:hAnsi="Times New Roman" w:cs="Times New Roman"/>
                <w:sz w:val="24"/>
                <w:szCs w:val="24"/>
              </w:rPr>
            </w:pPr>
            <w:r w:rsidRPr="00EF4958">
              <w:rPr>
                <w:rFonts w:ascii="Times New Roman" w:hAnsi="Times New Roman" w:cs="Times New Roman"/>
                <w:sz w:val="24"/>
                <w:szCs w:val="24"/>
              </w:rPr>
              <w:t>3650,00</w:t>
            </w:r>
          </w:p>
        </w:tc>
        <w:tc>
          <w:tcPr>
            <w:tcW w:w="1418" w:type="dxa"/>
            <w:tcBorders>
              <w:right w:val="single" w:sz="4" w:space="0" w:color="auto"/>
            </w:tcBorders>
            <w:vAlign w:val="center"/>
          </w:tcPr>
          <w:p w:rsidR="00CC16B7" w:rsidRPr="00EF4958" w:rsidRDefault="00CC16B7" w:rsidP="009243AE">
            <w:pPr>
              <w:tabs>
                <w:tab w:val="left" w:pos="3686"/>
                <w:tab w:val="left" w:pos="6237"/>
              </w:tabs>
              <w:ind w:left="-108" w:right="-2"/>
              <w:jc w:val="center"/>
              <w:rPr>
                <w:rFonts w:ascii="Times New Roman" w:hAnsi="Times New Roman" w:cs="Times New Roman"/>
                <w:sz w:val="24"/>
                <w:szCs w:val="24"/>
              </w:rPr>
            </w:pPr>
            <w:r w:rsidRPr="00EF4958">
              <w:rPr>
                <w:rFonts w:ascii="Times New Roman" w:hAnsi="Times New Roman" w:cs="Times New Roman"/>
                <w:sz w:val="24"/>
                <w:szCs w:val="24"/>
              </w:rPr>
              <w:t>3950,00</w:t>
            </w:r>
          </w:p>
        </w:tc>
        <w:tc>
          <w:tcPr>
            <w:tcW w:w="1417" w:type="dxa"/>
            <w:tcBorders>
              <w:right w:val="single" w:sz="4" w:space="0" w:color="auto"/>
            </w:tcBorders>
            <w:vAlign w:val="center"/>
          </w:tcPr>
          <w:p w:rsidR="00CC16B7" w:rsidRPr="00EF4958" w:rsidRDefault="00CC16B7" w:rsidP="009243AE">
            <w:pPr>
              <w:tabs>
                <w:tab w:val="left" w:pos="3686"/>
                <w:tab w:val="left" w:pos="6237"/>
              </w:tabs>
              <w:ind w:left="-108" w:right="-2"/>
              <w:jc w:val="center"/>
              <w:rPr>
                <w:rFonts w:ascii="Times New Roman" w:hAnsi="Times New Roman" w:cs="Times New Roman"/>
                <w:sz w:val="24"/>
                <w:szCs w:val="24"/>
              </w:rPr>
            </w:pPr>
          </w:p>
        </w:tc>
      </w:tr>
      <w:tr w:rsidR="00CC16B7" w:rsidRPr="009874ED" w:rsidTr="00B53D71">
        <w:trPr>
          <w:trHeight w:val="90"/>
          <w:jc w:val="center"/>
        </w:trPr>
        <w:tc>
          <w:tcPr>
            <w:tcW w:w="3114" w:type="dxa"/>
            <w:tcBorders>
              <w:right w:val="single" w:sz="4" w:space="0" w:color="auto"/>
            </w:tcBorders>
          </w:tcPr>
          <w:p w:rsidR="00CC16B7" w:rsidRPr="00EF4958" w:rsidRDefault="00CC16B7" w:rsidP="00B53D71">
            <w:pPr>
              <w:jc w:val="center"/>
              <w:rPr>
                <w:rFonts w:ascii="Times New Roman" w:hAnsi="Times New Roman" w:cs="Times New Roman"/>
                <w:sz w:val="24"/>
                <w:szCs w:val="24"/>
              </w:rPr>
            </w:pPr>
            <w:r w:rsidRPr="00EF4958">
              <w:rPr>
                <w:rFonts w:ascii="Times New Roman" w:hAnsi="Times New Roman" w:cs="Times New Roman"/>
                <w:sz w:val="24"/>
                <w:szCs w:val="24"/>
              </w:rPr>
              <w:t>SIA "D.N.H."</w:t>
            </w:r>
          </w:p>
        </w:tc>
        <w:tc>
          <w:tcPr>
            <w:tcW w:w="1417" w:type="dxa"/>
          </w:tcPr>
          <w:p w:rsidR="00CC16B7" w:rsidRPr="00EF4958" w:rsidRDefault="00CC16B7" w:rsidP="009243AE">
            <w:pPr>
              <w:rPr>
                <w:rFonts w:ascii="Times New Roman" w:hAnsi="Times New Roman" w:cs="Times New Roman"/>
                <w:sz w:val="24"/>
                <w:szCs w:val="24"/>
              </w:rPr>
            </w:pPr>
          </w:p>
        </w:tc>
        <w:tc>
          <w:tcPr>
            <w:tcW w:w="997" w:type="dxa"/>
          </w:tcPr>
          <w:p w:rsidR="00CC16B7" w:rsidRPr="00EF4958" w:rsidRDefault="00CC16B7" w:rsidP="009243AE">
            <w:pPr>
              <w:rPr>
                <w:rFonts w:ascii="Times New Roman" w:hAnsi="Times New Roman" w:cs="Times New Roman"/>
                <w:sz w:val="24"/>
                <w:szCs w:val="24"/>
              </w:rPr>
            </w:pPr>
          </w:p>
        </w:tc>
        <w:tc>
          <w:tcPr>
            <w:tcW w:w="1276" w:type="dxa"/>
          </w:tcPr>
          <w:p w:rsidR="00CC16B7" w:rsidRPr="00EF4958" w:rsidRDefault="00CC16B7" w:rsidP="009243AE">
            <w:pPr>
              <w:rPr>
                <w:rFonts w:ascii="Times New Roman" w:hAnsi="Times New Roman" w:cs="Times New Roman"/>
                <w:sz w:val="24"/>
                <w:szCs w:val="24"/>
              </w:rPr>
            </w:pPr>
          </w:p>
        </w:tc>
        <w:tc>
          <w:tcPr>
            <w:tcW w:w="1134" w:type="dxa"/>
          </w:tcPr>
          <w:p w:rsidR="00CC16B7" w:rsidRPr="00EF4958" w:rsidRDefault="00CC16B7" w:rsidP="009243AE">
            <w:pPr>
              <w:rPr>
                <w:rFonts w:ascii="Times New Roman" w:hAnsi="Times New Roman" w:cs="Times New Roman"/>
                <w:sz w:val="24"/>
                <w:szCs w:val="24"/>
              </w:rPr>
            </w:pPr>
          </w:p>
        </w:tc>
        <w:tc>
          <w:tcPr>
            <w:tcW w:w="1276" w:type="dxa"/>
          </w:tcPr>
          <w:p w:rsidR="00CC16B7" w:rsidRPr="00EF4958" w:rsidRDefault="00CC16B7" w:rsidP="009243AE">
            <w:pPr>
              <w:rPr>
                <w:rFonts w:ascii="Times New Roman" w:hAnsi="Times New Roman" w:cs="Times New Roman"/>
                <w:sz w:val="24"/>
                <w:szCs w:val="24"/>
              </w:rPr>
            </w:pPr>
          </w:p>
        </w:tc>
        <w:tc>
          <w:tcPr>
            <w:tcW w:w="1026" w:type="dxa"/>
            <w:tcBorders>
              <w:right w:val="single" w:sz="4" w:space="0" w:color="auto"/>
            </w:tcBorders>
          </w:tcPr>
          <w:p w:rsidR="00CC16B7" w:rsidRPr="00EF4958" w:rsidRDefault="00CC16B7" w:rsidP="009243AE">
            <w:pPr>
              <w:rPr>
                <w:rFonts w:ascii="Times New Roman" w:hAnsi="Times New Roman" w:cs="Times New Roman"/>
                <w:sz w:val="24"/>
                <w:szCs w:val="24"/>
              </w:rPr>
            </w:pPr>
          </w:p>
        </w:tc>
        <w:tc>
          <w:tcPr>
            <w:tcW w:w="1417" w:type="dxa"/>
            <w:tcBorders>
              <w:right w:val="single" w:sz="4" w:space="0" w:color="auto"/>
            </w:tcBorders>
          </w:tcPr>
          <w:p w:rsidR="00CC16B7" w:rsidRPr="00EF4958" w:rsidRDefault="00CC16B7" w:rsidP="009243AE">
            <w:pPr>
              <w:rPr>
                <w:rFonts w:ascii="Times New Roman" w:hAnsi="Times New Roman" w:cs="Times New Roman"/>
                <w:sz w:val="24"/>
                <w:szCs w:val="24"/>
              </w:rPr>
            </w:pPr>
          </w:p>
        </w:tc>
        <w:tc>
          <w:tcPr>
            <w:tcW w:w="1418" w:type="dxa"/>
            <w:tcBorders>
              <w:right w:val="single" w:sz="4" w:space="0" w:color="auto"/>
            </w:tcBorders>
          </w:tcPr>
          <w:p w:rsidR="00CC16B7" w:rsidRPr="00EF4958" w:rsidRDefault="00CC16B7" w:rsidP="009243AE">
            <w:pPr>
              <w:rPr>
                <w:rFonts w:ascii="Times New Roman" w:hAnsi="Times New Roman" w:cs="Times New Roman"/>
                <w:sz w:val="24"/>
                <w:szCs w:val="24"/>
              </w:rPr>
            </w:pPr>
          </w:p>
        </w:tc>
        <w:tc>
          <w:tcPr>
            <w:tcW w:w="1417" w:type="dxa"/>
            <w:tcBorders>
              <w:right w:val="single" w:sz="4" w:space="0" w:color="auto"/>
            </w:tcBorders>
          </w:tcPr>
          <w:p w:rsidR="00CC16B7" w:rsidRPr="00EF4958" w:rsidRDefault="00CC16B7" w:rsidP="009243AE">
            <w:pPr>
              <w:rPr>
                <w:rFonts w:ascii="Times New Roman" w:hAnsi="Times New Roman" w:cs="Times New Roman"/>
                <w:sz w:val="24"/>
                <w:szCs w:val="24"/>
              </w:rPr>
            </w:pPr>
            <w:r w:rsidRPr="00EF4958">
              <w:rPr>
                <w:rFonts w:ascii="Times New Roman" w:hAnsi="Times New Roman" w:cs="Times New Roman"/>
                <w:sz w:val="24"/>
                <w:szCs w:val="24"/>
              </w:rPr>
              <w:t>4718,51</w:t>
            </w:r>
          </w:p>
        </w:tc>
      </w:tr>
    </w:tbl>
    <w:p w:rsidR="00CC16B7" w:rsidRDefault="00CC16B7" w:rsidP="00CC16B7">
      <w:pPr>
        <w:pStyle w:val="BodyTextIndent"/>
        <w:spacing w:after="0"/>
        <w:ind w:left="0"/>
        <w:jc w:val="both"/>
        <w:rPr>
          <w:b/>
        </w:rPr>
      </w:pPr>
    </w:p>
    <w:p w:rsidR="00CC16B7" w:rsidRDefault="00CC16B7" w:rsidP="00CC16B7">
      <w:pPr>
        <w:pStyle w:val="BodyTextIndent"/>
        <w:spacing w:after="0"/>
        <w:ind w:left="0"/>
        <w:jc w:val="both"/>
        <w:rPr>
          <w:b/>
        </w:rPr>
      </w:pPr>
      <w:r w:rsidRPr="00A81FD8">
        <w:rPr>
          <w:b/>
        </w:rPr>
        <w:t>Pretendentu finanšu piedāvājumi ar Iepirkumu komisijas labotām aritmētiskām kļūdām, summas EUR:</w:t>
      </w:r>
    </w:p>
    <w:p w:rsidR="00CC16B7" w:rsidRPr="0016660A" w:rsidRDefault="00CC16B7" w:rsidP="00CC16B7">
      <w:pPr>
        <w:pStyle w:val="BodyTextIndent"/>
        <w:spacing w:after="0"/>
        <w:ind w:left="0"/>
        <w:jc w:val="both"/>
        <w:rPr>
          <w:b/>
        </w:rPr>
      </w:pPr>
    </w:p>
    <w:tbl>
      <w:tblPr>
        <w:tblW w:w="14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701"/>
        <w:gridCol w:w="708"/>
        <w:gridCol w:w="709"/>
        <w:gridCol w:w="1418"/>
        <w:gridCol w:w="1417"/>
        <w:gridCol w:w="1418"/>
        <w:gridCol w:w="1417"/>
        <w:gridCol w:w="1310"/>
        <w:gridCol w:w="1417"/>
      </w:tblGrid>
      <w:tr w:rsidR="00CC16B7" w:rsidRPr="00EF4958" w:rsidTr="00B53D71">
        <w:trPr>
          <w:trHeight w:val="192"/>
          <w:jc w:val="center"/>
        </w:trPr>
        <w:tc>
          <w:tcPr>
            <w:tcW w:w="3256" w:type="dxa"/>
            <w:vMerge w:val="restart"/>
            <w:vAlign w:val="center"/>
          </w:tcPr>
          <w:p w:rsidR="00CC16B7" w:rsidRPr="00947345" w:rsidRDefault="00CC16B7" w:rsidP="009243AE">
            <w:pPr>
              <w:pStyle w:val="BodyTextIndent"/>
              <w:spacing w:after="0"/>
              <w:jc w:val="center"/>
              <w:rPr>
                <w:b/>
                <w:bCs/>
              </w:rPr>
            </w:pPr>
            <w:r w:rsidRPr="00947345">
              <w:rPr>
                <w:b/>
                <w:bCs/>
              </w:rPr>
              <w:t>Pretendents</w:t>
            </w:r>
          </w:p>
        </w:tc>
        <w:tc>
          <w:tcPr>
            <w:tcW w:w="11515" w:type="dxa"/>
            <w:gridSpan w:val="9"/>
            <w:vAlign w:val="center"/>
          </w:tcPr>
          <w:p w:rsidR="00CC16B7" w:rsidRPr="00947345" w:rsidRDefault="00CC16B7" w:rsidP="009243AE">
            <w:pPr>
              <w:pStyle w:val="BodyTextIndent"/>
              <w:spacing w:after="0"/>
              <w:jc w:val="center"/>
              <w:rPr>
                <w:b/>
              </w:rPr>
            </w:pPr>
            <w:r w:rsidRPr="00947345">
              <w:rPr>
                <w:b/>
              </w:rPr>
              <w:t>Daļas numurs un līgumcena paredzamajam pakalpojuma apjomam, EUR bez pievienotās vērtības nodokļa (piedāvājuma izvēles kritērijs)</w:t>
            </w:r>
          </w:p>
        </w:tc>
      </w:tr>
      <w:tr w:rsidR="00CC16B7" w:rsidRPr="00EF4958" w:rsidTr="00B53D71">
        <w:trPr>
          <w:trHeight w:val="520"/>
          <w:jc w:val="center"/>
        </w:trPr>
        <w:tc>
          <w:tcPr>
            <w:tcW w:w="3256" w:type="dxa"/>
            <w:vMerge/>
            <w:vAlign w:val="center"/>
          </w:tcPr>
          <w:p w:rsidR="00CC16B7" w:rsidRPr="00947345" w:rsidRDefault="00CC16B7" w:rsidP="009243AE">
            <w:pPr>
              <w:pStyle w:val="BodyTextIndent"/>
              <w:spacing w:after="0"/>
              <w:jc w:val="center"/>
              <w:rPr>
                <w:b/>
                <w:bCs/>
              </w:rPr>
            </w:pPr>
          </w:p>
        </w:tc>
        <w:tc>
          <w:tcPr>
            <w:tcW w:w="1701" w:type="dxa"/>
            <w:vAlign w:val="center"/>
          </w:tcPr>
          <w:p w:rsidR="00CC16B7" w:rsidRPr="00947345" w:rsidRDefault="00CC16B7" w:rsidP="009243AE">
            <w:pPr>
              <w:pStyle w:val="BodyTextIndent"/>
              <w:spacing w:after="0"/>
              <w:jc w:val="center"/>
              <w:rPr>
                <w:b/>
              </w:rPr>
            </w:pPr>
            <w:r w:rsidRPr="00947345">
              <w:rPr>
                <w:b/>
              </w:rPr>
              <w:t>1.</w:t>
            </w:r>
          </w:p>
        </w:tc>
        <w:tc>
          <w:tcPr>
            <w:tcW w:w="708" w:type="dxa"/>
            <w:vAlign w:val="center"/>
          </w:tcPr>
          <w:p w:rsidR="00CC16B7" w:rsidRPr="00947345" w:rsidRDefault="00CC16B7" w:rsidP="009243AE">
            <w:pPr>
              <w:pStyle w:val="BodyTextIndent"/>
              <w:spacing w:after="0"/>
              <w:jc w:val="center"/>
              <w:rPr>
                <w:b/>
              </w:rPr>
            </w:pPr>
            <w:r w:rsidRPr="00947345">
              <w:rPr>
                <w:b/>
              </w:rPr>
              <w:t>2.</w:t>
            </w:r>
          </w:p>
        </w:tc>
        <w:tc>
          <w:tcPr>
            <w:tcW w:w="709" w:type="dxa"/>
            <w:vAlign w:val="center"/>
          </w:tcPr>
          <w:p w:rsidR="00CC16B7" w:rsidRPr="00947345" w:rsidRDefault="00CC16B7" w:rsidP="009243AE">
            <w:pPr>
              <w:pStyle w:val="BodyTextIndent"/>
              <w:spacing w:after="0"/>
              <w:jc w:val="center"/>
              <w:rPr>
                <w:b/>
              </w:rPr>
            </w:pPr>
            <w:r w:rsidRPr="00947345">
              <w:rPr>
                <w:b/>
              </w:rPr>
              <w:t>3.</w:t>
            </w:r>
          </w:p>
        </w:tc>
        <w:tc>
          <w:tcPr>
            <w:tcW w:w="1418" w:type="dxa"/>
            <w:vAlign w:val="center"/>
          </w:tcPr>
          <w:p w:rsidR="00CC16B7" w:rsidRPr="00947345" w:rsidRDefault="00CC16B7" w:rsidP="009243AE">
            <w:pPr>
              <w:pStyle w:val="BodyTextIndent"/>
              <w:spacing w:after="0"/>
              <w:jc w:val="center"/>
              <w:rPr>
                <w:b/>
              </w:rPr>
            </w:pPr>
            <w:r w:rsidRPr="00947345">
              <w:rPr>
                <w:b/>
              </w:rPr>
              <w:t>4.</w:t>
            </w:r>
          </w:p>
        </w:tc>
        <w:tc>
          <w:tcPr>
            <w:tcW w:w="1417" w:type="dxa"/>
            <w:vAlign w:val="center"/>
          </w:tcPr>
          <w:p w:rsidR="00CC16B7" w:rsidRPr="00947345" w:rsidRDefault="00CC16B7" w:rsidP="009243AE">
            <w:pPr>
              <w:pStyle w:val="BodyTextIndent"/>
              <w:spacing w:after="0"/>
              <w:jc w:val="center"/>
              <w:rPr>
                <w:b/>
              </w:rPr>
            </w:pPr>
            <w:r w:rsidRPr="00947345">
              <w:rPr>
                <w:b/>
              </w:rPr>
              <w:t>5.</w:t>
            </w:r>
          </w:p>
        </w:tc>
        <w:tc>
          <w:tcPr>
            <w:tcW w:w="1418" w:type="dxa"/>
            <w:vAlign w:val="center"/>
          </w:tcPr>
          <w:p w:rsidR="00CC16B7" w:rsidRPr="00947345" w:rsidRDefault="00CC16B7" w:rsidP="009243AE">
            <w:pPr>
              <w:pStyle w:val="BodyTextIndent"/>
              <w:spacing w:after="0"/>
              <w:jc w:val="center"/>
              <w:rPr>
                <w:b/>
              </w:rPr>
            </w:pPr>
          </w:p>
          <w:p w:rsidR="00CC16B7" w:rsidRPr="00947345" w:rsidRDefault="00CC16B7" w:rsidP="009243AE">
            <w:pPr>
              <w:pStyle w:val="BodyTextIndent"/>
              <w:spacing w:after="0"/>
              <w:jc w:val="center"/>
              <w:rPr>
                <w:b/>
              </w:rPr>
            </w:pPr>
            <w:r w:rsidRPr="00947345">
              <w:rPr>
                <w:b/>
              </w:rPr>
              <w:t>6.</w:t>
            </w:r>
          </w:p>
          <w:p w:rsidR="00CC16B7" w:rsidRPr="00947345" w:rsidRDefault="00CC16B7" w:rsidP="009243AE">
            <w:pPr>
              <w:pStyle w:val="BodyTextIndent"/>
              <w:spacing w:after="0"/>
              <w:jc w:val="center"/>
              <w:rPr>
                <w:b/>
              </w:rPr>
            </w:pPr>
          </w:p>
        </w:tc>
        <w:tc>
          <w:tcPr>
            <w:tcW w:w="1417" w:type="dxa"/>
            <w:vAlign w:val="center"/>
          </w:tcPr>
          <w:p w:rsidR="00CC16B7" w:rsidRPr="00947345" w:rsidRDefault="00CC16B7" w:rsidP="009243AE">
            <w:pPr>
              <w:pStyle w:val="BodyTextIndent"/>
              <w:spacing w:after="0"/>
              <w:jc w:val="center"/>
              <w:rPr>
                <w:b/>
              </w:rPr>
            </w:pPr>
          </w:p>
          <w:p w:rsidR="00CC16B7" w:rsidRPr="00947345" w:rsidRDefault="00CC16B7" w:rsidP="009243AE">
            <w:pPr>
              <w:pStyle w:val="BodyTextIndent"/>
              <w:spacing w:after="0"/>
              <w:jc w:val="center"/>
              <w:rPr>
                <w:b/>
              </w:rPr>
            </w:pPr>
            <w:r w:rsidRPr="00947345">
              <w:rPr>
                <w:b/>
              </w:rPr>
              <w:t>7.</w:t>
            </w:r>
          </w:p>
          <w:p w:rsidR="00CC16B7" w:rsidRPr="00947345" w:rsidRDefault="00CC16B7" w:rsidP="009243AE">
            <w:pPr>
              <w:pStyle w:val="BodyTextIndent"/>
              <w:spacing w:after="0"/>
              <w:jc w:val="center"/>
              <w:rPr>
                <w:b/>
              </w:rPr>
            </w:pPr>
          </w:p>
        </w:tc>
        <w:tc>
          <w:tcPr>
            <w:tcW w:w="1310" w:type="dxa"/>
            <w:vAlign w:val="center"/>
          </w:tcPr>
          <w:p w:rsidR="00CC16B7" w:rsidRPr="00947345" w:rsidRDefault="00CC16B7" w:rsidP="009243AE">
            <w:pPr>
              <w:pStyle w:val="BodyTextIndent"/>
              <w:spacing w:after="0"/>
              <w:jc w:val="center"/>
              <w:rPr>
                <w:b/>
              </w:rPr>
            </w:pPr>
          </w:p>
          <w:p w:rsidR="00CC16B7" w:rsidRPr="00947345" w:rsidRDefault="00CC16B7" w:rsidP="009243AE">
            <w:pPr>
              <w:pStyle w:val="BodyTextIndent"/>
              <w:spacing w:after="0"/>
              <w:jc w:val="center"/>
              <w:rPr>
                <w:b/>
              </w:rPr>
            </w:pPr>
            <w:r w:rsidRPr="00947345">
              <w:rPr>
                <w:b/>
              </w:rPr>
              <w:t>8.</w:t>
            </w:r>
          </w:p>
          <w:p w:rsidR="00CC16B7" w:rsidRPr="00947345" w:rsidRDefault="00CC16B7" w:rsidP="009243AE">
            <w:pPr>
              <w:pStyle w:val="BodyTextIndent"/>
              <w:spacing w:after="0"/>
              <w:jc w:val="center"/>
              <w:rPr>
                <w:b/>
              </w:rPr>
            </w:pPr>
          </w:p>
        </w:tc>
        <w:tc>
          <w:tcPr>
            <w:tcW w:w="1417" w:type="dxa"/>
            <w:vAlign w:val="center"/>
          </w:tcPr>
          <w:p w:rsidR="00CC16B7" w:rsidRPr="00947345" w:rsidRDefault="00CC16B7" w:rsidP="009243AE">
            <w:pPr>
              <w:pStyle w:val="BodyTextIndent"/>
              <w:spacing w:after="0"/>
              <w:jc w:val="center"/>
              <w:rPr>
                <w:b/>
              </w:rPr>
            </w:pPr>
          </w:p>
          <w:p w:rsidR="00CC16B7" w:rsidRPr="00947345" w:rsidRDefault="00CC16B7" w:rsidP="009243AE">
            <w:pPr>
              <w:pStyle w:val="BodyTextIndent"/>
              <w:spacing w:after="0"/>
              <w:jc w:val="center"/>
              <w:rPr>
                <w:b/>
              </w:rPr>
            </w:pPr>
            <w:r w:rsidRPr="00947345">
              <w:rPr>
                <w:b/>
              </w:rPr>
              <w:t>9.</w:t>
            </w:r>
          </w:p>
          <w:p w:rsidR="00CC16B7" w:rsidRPr="00947345" w:rsidRDefault="00CC16B7" w:rsidP="009243AE">
            <w:pPr>
              <w:pStyle w:val="BodyTextIndent"/>
              <w:spacing w:after="0"/>
              <w:jc w:val="center"/>
              <w:rPr>
                <w:b/>
              </w:rPr>
            </w:pPr>
          </w:p>
        </w:tc>
      </w:tr>
      <w:tr w:rsidR="00CC16B7" w:rsidRPr="00EF4958" w:rsidTr="00B53D71">
        <w:trPr>
          <w:trHeight w:val="390"/>
          <w:jc w:val="center"/>
        </w:trPr>
        <w:tc>
          <w:tcPr>
            <w:tcW w:w="3256" w:type="dxa"/>
            <w:tcBorders>
              <w:right w:val="single" w:sz="4" w:space="0" w:color="auto"/>
            </w:tcBorders>
            <w:vAlign w:val="center"/>
          </w:tcPr>
          <w:p w:rsidR="00CC16B7" w:rsidRPr="00947345" w:rsidRDefault="00CC16B7" w:rsidP="009243AE">
            <w:pPr>
              <w:pStyle w:val="BodyTextIndent"/>
              <w:spacing w:after="0"/>
              <w:jc w:val="center"/>
            </w:pPr>
            <w:r w:rsidRPr="00947345">
              <w:t xml:space="preserve">SIA "Ķemers </w:t>
            </w:r>
            <w:proofErr w:type="spellStart"/>
            <w:r w:rsidRPr="00947345">
              <w:t>Business</w:t>
            </w:r>
            <w:proofErr w:type="spellEnd"/>
            <w:r w:rsidRPr="00947345">
              <w:t xml:space="preserve"> </w:t>
            </w:r>
            <w:proofErr w:type="spellStart"/>
            <w:r w:rsidRPr="00947345">
              <w:t>and</w:t>
            </w:r>
            <w:proofErr w:type="spellEnd"/>
            <w:r w:rsidRPr="00947345">
              <w:t xml:space="preserve"> </w:t>
            </w:r>
            <w:proofErr w:type="spellStart"/>
            <w:r w:rsidRPr="00947345">
              <w:t>Law</w:t>
            </w:r>
            <w:proofErr w:type="spellEnd"/>
            <w:r w:rsidRPr="00947345">
              <w:t xml:space="preserve"> </w:t>
            </w:r>
            <w:proofErr w:type="spellStart"/>
            <w:r w:rsidRPr="00947345">
              <w:t>Company</w:t>
            </w:r>
            <w:proofErr w:type="spellEnd"/>
            <w:r w:rsidRPr="00947345">
              <w:t>"</w:t>
            </w:r>
          </w:p>
        </w:tc>
        <w:tc>
          <w:tcPr>
            <w:tcW w:w="1701" w:type="dxa"/>
            <w:vAlign w:val="center"/>
          </w:tcPr>
          <w:p w:rsidR="00CC16B7" w:rsidRPr="00947345" w:rsidRDefault="00CC16B7" w:rsidP="009243AE">
            <w:pPr>
              <w:pStyle w:val="BodyTextIndent"/>
              <w:spacing w:after="0"/>
              <w:jc w:val="center"/>
            </w:pPr>
            <w:r w:rsidRPr="00947345">
              <w:t>29 977,15*</w:t>
            </w:r>
          </w:p>
        </w:tc>
        <w:tc>
          <w:tcPr>
            <w:tcW w:w="708" w:type="dxa"/>
            <w:vAlign w:val="center"/>
          </w:tcPr>
          <w:p w:rsidR="00CC16B7" w:rsidRPr="00947345" w:rsidRDefault="00CC16B7" w:rsidP="009243AE">
            <w:pPr>
              <w:pStyle w:val="BodyTextIndent"/>
              <w:spacing w:after="0"/>
              <w:jc w:val="center"/>
            </w:pPr>
          </w:p>
        </w:tc>
        <w:tc>
          <w:tcPr>
            <w:tcW w:w="709" w:type="dxa"/>
            <w:vAlign w:val="center"/>
          </w:tcPr>
          <w:p w:rsidR="00CC16B7" w:rsidRPr="00947345" w:rsidRDefault="00CC16B7" w:rsidP="009243AE">
            <w:pPr>
              <w:pStyle w:val="BodyTextIndent"/>
              <w:spacing w:after="0"/>
              <w:jc w:val="center"/>
            </w:pPr>
          </w:p>
        </w:tc>
        <w:tc>
          <w:tcPr>
            <w:tcW w:w="1418" w:type="dxa"/>
            <w:vAlign w:val="center"/>
          </w:tcPr>
          <w:p w:rsidR="00CC16B7" w:rsidRPr="00947345" w:rsidRDefault="00CC16B7" w:rsidP="009243AE">
            <w:pPr>
              <w:pStyle w:val="BodyTextIndent"/>
              <w:spacing w:after="0"/>
              <w:jc w:val="center"/>
            </w:pPr>
            <w:r w:rsidRPr="00947345">
              <w:t>3850,00</w:t>
            </w:r>
          </w:p>
        </w:tc>
        <w:tc>
          <w:tcPr>
            <w:tcW w:w="1417" w:type="dxa"/>
            <w:vAlign w:val="center"/>
          </w:tcPr>
          <w:p w:rsidR="00CC16B7" w:rsidRPr="00947345" w:rsidRDefault="00CC16B7" w:rsidP="009243AE">
            <w:pPr>
              <w:pStyle w:val="BodyTextIndent"/>
              <w:spacing w:after="0"/>
              <w:jc w:val="center"/>
            </w:pPr>
            <w:r>
              <w:t>2950</w:t>
            </w:r>
            <w:r w:rsidRPr="00947345">
              <w:t>,0</w:t>
            </w:r>
            <w:r>
              <w:t>0*</w:t>
            </w:r>
          </w:p>
        </w:tc>
        <w:tc>
          <w:tcPr>
            <w:tcW w:w="1418" w:type="dxa"/>
            <w:tcBorders>
              <w:right w:val="single" w:sz="4" w:space="0" w:color="auto"/>
            </w:tcBorders>
            <w:vAlign w:val="center"/>
          </w:tcPr>
          <w:p w:rsidR="00CC16B7" w:rsidRPr="00947345" w:rsidRDefault="00CC16B7" w:rsidP="009243AE">
            <w:pPr>
              <w:pStyle w:val="BodyTextIndent"/>
              <w:spacing w:after="0"/>
              <w:ind w:left="0"/>
              <w:jc w:val="center"/>
            </w:pPr>
            <w:r>
              <w:t xml:space="preserve">   </w:t>
            </w:r>
            <w:r w:rsidRPr="00947345">
              <w:t>3750,00</w:t>
            </w:r>
          </w:p>
        </w:tc>
        <w:tc>
          <w:tcPr>
            <w:tcW w:w="1417" w:type="dxa"/>
            <w:tcBorders>
              <w:right w:val="single" w:sz="4" w:space="0" w:color="auto"/>
            </w:tcBorders>
            <w:vAlign w:val="center"/>
          </w:tcPr>
          <w:p w:rsidR="00CC16B7" w:rsidRPr="00947345" w:rsidRDefault="00CC16B7" w:rsidP="009243AE">
            <w:pPr>
              <w:pStyle w:val="BodyTextIndent"/>
              <w:spacing w:after="0"/>
              <w:ind w:left="0"/>
              <w:jc w:val="center"/>
            </w:pPr>
            <w:r w:rsidRPr="00947345">
              <w:t>3</w:t>
            </w:r>
            <w:r>
              <w:t>150</w:t>
            </w:r>
            <w:r w:rsidRPr="00947345">
              <w:t>,00</w:t>
            </w:r>
            <w:r>
              <w:t>*</w:t>
            </w:r>
          </w:p>
        </w:tc>
        <w:tc>
          <w:tcPr>
            <w:tcW w:w="1310" w:type="dxa"/>
            <w:tcBorders>
              <w:right w:val="single" w:sz="4" w:space="0" w:color="auto"/>
            </w:tcBorders>
            <w:vAlign w:val="center"/>
          </w:tcPr>
          <w:p w:rsidR="00CC16B7" w:rsidRPr="00947345" w:rsidRDefault="00CC16B7" w:rsidP="009243AE">
            <w:pPr>
              <w:pStyle w:val="BodyTextIndent"/>
              <w:spacing w:after="0"/>
              <w:ind w:left="0"/>
              <w:jc w:val="center"/>
            </w:pPr>
            <w:r w:rsidRPr="00947345">
              <w:t>3950,00</w:t>
            </w:r>
          </w:p>
        </w:tc>
        <w:tc>
          <w:tcPr>
            <w:tcW w:w="1417" w:type="dxa"/>
            <w:tcBorders>
              <w:right w:val="single" w:sz="4" w:space="0" w:color="auto"/>
            </w:tcBorders>
            <w:vAlign w:val="center"/>
          </w:tcPr>
          <w:p w:rsidR="00CC16B7" w:rsidRPr="00947345" w:rsidRDefault="00CC16B7" w:rsidP="009243AE">
            <w:pPr>
              <w:pStyle w:val="BodyTextIndent"/>
              <w:spacing w:after="0"/>
              <w:ind w:left="0"/>
              <w:jc w:val="center"/>
            </w:pPr>
          </w:p>
        </w:tc>
      </w:tr>
      <w:tr w:rsidR="00CC16B7" w:rsidRPr="00EF4958" w:rsidTr="00B53D71">
        <w:trPr>
          <w:trHeight w:val="90"/>
          <w:jc w:val="center"/>
        </w:trPr>
        <w:tc>
          <w:tcPr>
            <w:tcW w:w="3256" w:type="dxa"/>
            <w:tcBorders>
              <w:right w:val="single" w:sz="4" w:space="0" w:color="auto"/>
            </w:tcBorders>
            <w:vAlign w:val="center"/>
          </w:tcPr>
          <w:p w:rsidR="00CC16B7" w:rsidRPr="00947345" w:rsidRDefault="00CC16B7" w:rsidP="009243AE">
            <w:pPr>
              <w:pStyle w:val="BodyTextIndent"/>
              <w:spacing w:after="0"/>
              <w:jc w:val="center"/>
              <w:rPr>
                <w:lang w:val="en-US"/>
              </w:rPr>
            </w:pPr>
            <w:bookmarkStart w:id="5" w:name="_Hlk514161257"/>
            <w:r w:rsidRPr="00947345">
              <w:rPr>
                <w:lang w:val="en-US"/>
              </w:rPr>
              <w:t>SIA "D.N.H."</w:t>
            </w:r>
            <w:bookmarkEnd w:id="5"/>
          </w:p>
        </w:tc>
        <w:tc>
          <w:tcPr>
            <w:tcW w:w="1701" w:type="dxa"/>
            <w:vAlign w:val="center"/>
          </w:tcPr>
          <w:p w:rsidR="00CC16B7" w:rsidRPr="00947345" w:rsidRDefault="00CC16B7" w:rsidP="009243AE">
            <w:pPr>
              <w:pStyle w:val="BodyTextIndent"/>
              <w:spacing w:after="0"/>
              <w:jc w:val="center"/>
              <w:rPr>
                <w:lang w:val="en-US"/>
              </w:rPr>
            </w:pPr>
          </w:p>
        </w:tc>
        <w:tc>
          <w:tcPr>
            <w:tcW w:w="708" w:type="dxa"/>
            <w:vAlign w:val="center"/>
          </w:tcPr>
          <w:p w:rsidR="00CC16B7" w:rsidRPr="00947345" w:rsidRDefault="00CC16B7" w:rsidP="009243AE">
            <w:pPr>
              <w:pStyle w:val="BodyTextIndent"/>
              <w:spacing w:after="0"/>
              <w:jc w:val="center"/>
              <w:rPr>
                <w:lang w:val="en-US"/>
              </w:rPr>
            </w:pPr>
          </w:p>
        </w:tc>
        <w:tc>
          <w:tcPr>
            <w:tcW w:w="709" w:type="dxa"/>
            <w:vAlign w:val="center"/>
          </w:tcPr>
          <w:p w:rsidR="00CC16B7" w:rsidRPr="00947345" w:rsidRDefault="00CC16B7" w:rsidP="009243AE">
            <w:pPr>
              <w:pStyle w:val="BodyTextIndent"/>
              <w:spacing w:after="0"/>
              <w:jc w:val="center"/>
              <w:rPr>
                <w:lang w:val="en-US"/>
              </w:rPr>
            </w:pPr>
          </w:p>
        </w:tc>
        <w:tc>
          <w:tcPr>
            <w:tcW w:w="1418" w:type="dxa"/>
            <w:vAlign w:val="center"/>
          </w:tcPr>
          <w:p w:rsidR="00CC16B7" w:rsidRPr="00947345" w:rsidRDefault="00CC16B7" w:rsidP="009243AE">
            <w:pPr>
              <w:pStyle w:val="BodyTextIndent"/>
              <w:spacing w:after="0"/>
              <w:jc w:val="center"/>
              <w:rPr>
                <w:lang w:val="en-US"/>
              </w:rPr>
            </w:pPr>
          </w:p>
        </w:tc>
        <w:tc>
          <w:tcPr>
            <w:tcW w:w="1417" w:type="dxa"/>
            <w:vAlign w:val="center"/>
          </w:tcPr>
          <w:p w:rsidR="00CC16B7" w:rsidRPr="00947345" w:rsidRDefault="00CC16B7" w:rsidP="009243AE">
            <w:pPr>
              <w:pStyle w:val="BodyTextIndent"/>
              <w:spacing w:after="0"/>
              <w:jc w:val="center"/>
              <w:rPr>
                <w:lang w:val="en-US"/>
              </w:rPr>
            </w:pPr>
          </w:p>
        </w:tc>
        <w:tc>
          <w:tcPr>
            <w:tcW w:w="1418" w:type="dxa"/>
            <w:tcBorders>
              <w:right w:val="single" w:sz="4" w:space="0" w:color="auto"/>
            </w:tcBorders>
            <w:vAlign w:val="center"/>
          </w:tcPr>
          <w:p w:rsidR="00CC16B7" w:rsidRPr="00947345" w:rsidRDefault="00CC16B7" w:rsidP="009243AE">
            <w:pPr>
              <w:pStyle w:val="BodyTextIndent"/>
              <w:spacing w:after="0"/>
              <w:jc w:val="center"/>
              <w:rPr>
                <w:lang w:val="en-US"/>
              </w:rPr>
            </w:pPr>
          </w:p>
        </w:tc>
        <w:tc>
          <w:tcPr>
            <w:tcW w:w="1417" w:type="dxa"/>
            <w:tcBorders>
              <w:right w:val="single" w:sz="4" w:space="0" w:color="auto"/>
            </w:tcBorders>
            <w:vAlign w:val="center"/>
          </w:tcPr>
          <w:p w:rsidR="00CC16B7" w:rsidRPr="00947345" w:rsidRDefault="00CC16B7" w:rsidP="009243AE">
            <w:pPr>
              <w:pStyle w:val="BodyTextIndent"/>
              <w:spacing w:after="0"/>
              <w:jc w:val="center"/>
              <w:rPr>
                <w:lang w:val="en-US"/>
              </w:rPr>
            </w:pPr>
          </w:p>
        </w:tc>
        <w:tc>
          <w:tcPr>
            <w:tcW w:w="1310" w:type="dxa"/>
            <w:tcBorders>
              <w:right w:val="single" w:sz="4" w:space="0" w:color="auto"/>
            </w:tcBorders>
            <w:vAlign w:val="center"/>
          </w:tcPr>
          <w:p w:rsidR="00CC16B7" w:rsidRPr="00947345" w:rsidRDefault="00CC16B7" w:rsidP="009243AE">
            <w:pPr>
              <w:pStyle w:val="BodyTextIndent"/>
              <w:spacing w:after="0"/>
              <w:jc w:val="center"/>
              <w:rPr>
                <w:lang w:val="en-US"/>
              </w:rPr>
            </w:pPr>
          </w:p>
        </w:tc>
        <w:tc>
          <w:tcPr>
            <w:tcW w:w="1417" w:type="dxa"/>
            <w:tcBorders>
              <w:right w:val="single" w:sz="4" w:space="0" w:color="auto"/>
            </w:tcBorders>
            <w:vAlign w:val="center"/>
          </w:tcPr>
          <w:p w:rsidR="00CC16B7" w:rsidRPr="00947345" w:rsidRDefault="00CC16B7" w:rsidP="009243AE">
            <w:pPr>
              <w:pStyle w:val="BodyTextIndent"/>
              <w:spacing w:after="0"/>
              <w:jc w:val="center"/>
              <w:rPr>
                <w:lang w:val="en-US"/>
              </w:rPr>
            </w:pPr>
            <w:r w:rsidRPr="00947345">
              <w:rPr>
                <w:lang w:val="en-US"/>
              </w:rPr>
              <w:t>4</w:t>
            </w:r>
            <w:r>
              <w:rPr>
                <w:lang w:val="en-US"/>
              </w:rPr>
              <w:t>693</w:t>
            </w:r>
            <w:r w:rsidRPr="00947345">
              <w:rPr>
                <w:lang w:val="en-US"/>
              </w:rPr>
              <w:t>,</w:t>
            </w:r>
            <w:r>
              <w:rPr>
                <w:lang w:val="en-US"/>
              </w:rPr>
              <w:t>72</w:t>
            </w:r>
            <w:r w:rsidR="00B53D71">
              <w:rPr>
                <w:lang w:val="en-US"/>
              </w:rPr>
              <w:t>*</w:t>
            </w:r>
          </w:p>
        </w:tc>
      </w:tr>
    </w:tbl>
    <w:p w:rsidR="00CC16B7" w:rsidRDefault="00CC16B7" w:rsidP="00CC16B7">
      <w:pPr>
        <w:pStyle w:val="BodyTextIndent"/>
        <w:spacing w:after="0"/>
        <w:ind w:left="0"/>
        <w:jc w:val="both"/>
      </w:pPr>
    </w:p>
    <w:p w:rsidR="00CC16B7" w:rsidRDefault="00CC16B7" w:rsidP="00CC16B7">
      <w:pPr>
        <w:pStyle w:val="BodyTextIndent"/>
        <w:spacing w:after="0"/>
        <w:ind w:left="0"/>
        <w:jc w:val="both"/>
      </w:pPr>
    </w:p>
    <w:p w:rsidR="00797DF5" w:rsidRDefault="00CC16B7" w:rsidP="00CC16B7">
      <w:pPr>
        <w:pStyle w:val="BodyTextIndent"/>
        <w:spacing w:after="0"/>
        <w:ind w:left="0"/>
        <w:jc w:val="both"/>
        <w:sectPr w:rsidR="00797DF5" w:rsidSect="003E0405">
          <w:pgSz w:w="16838" w:h="11906" w:orient="landscape"/>
          <w:pgMar w:top="1701" w:right="1701" w:bottom="1134" w:left="1134" w:header="708" w:footer="708" w:gutter="0"/>
          <w:cols w:space="708"/>
          <w:docGrid w:linePitch="360"/>
        </w:sectPr>
      </w:pPr>
      <w:r w:rsidRPr="00A81FD8">
        <w:t xml:space="preserve">*Pamatojoties uz Publisko iepirkumu likuma </w:t>
      </w:r>
      <w:proofErr w:type="gramStart"/>
      <w:r w:rsidRPr="00A81FD8">
        <w:t>41.panta</w:t>
      </w:r>
      <w:proofErr w:type="gramEnd"/>
      <w:r w:rsidRPr="00A81FD8">
        <w:t xml:space="preserve"> devīto daļu, kas nosaka, ja pasūtītājs konstatē aritmētiskas kļūdas, tas šīs kļūdas izlabo. Par kļūdu labojumu un laboto piedāvājuma summu pasūtītājs paziņo pretendentam, kura pieļautās kļūdas labotas. Vērtējot finanšu piedāvājumu, pasūtītājs ņem vērā labojumus</w:t>
      </w:r>
      <w:r w:rsidR="00797DF5">
        <w:t>.</w:t>
      </w:r>
    </w:p>
    <w:p w:rsidR="00797DF5" w:rsidRDefault="00797DF5" w:rsidP="00797DF5">
      <w:pPr>
        <w:jc w:val="both"/>
        <w:rPr>
          <w:rFonts w:ascii="Times New Roman" w:hAnsi="Times New Roman" w:cs="Times New Roman"/>
          <w:sz w:val="24"/>
          <w:szCs w:val="24"/>
        </w:rPr>
      </w:pPr>
    </w:p>
    <w:p w:rsidR="00C63E9B" w:rsidRDefault="00C63E9B" w:rsidP="00C63E9B">
      <w:pPr>
        <w:ind w:firstLine="720"/>
        <w:jc w:val="both"/>
        <w:rPr>
          <w:rFonts w:ascii="Times New Roman" w:hAnsi="Times New Roman" w:cs="Times New Roman"/>
          <w:sz w:val="24"/>
          <w:szCs w:val="24"/>
        </w:rPr>
      </w:pPr>
      <w:r w:rsidRPr="000476E7">
        <w:rPr>
          <w:rFonts w:ascii="Times New Roman" w:hAnsi="Times New Roman" w:cs="Times New Roman"/>
          <w:sz w:val="24"/>
          <w:szCs w:val="24"/>
        </w:rPr>
        <w:t>Tā kā</w:t>
      </w:r>
      <w:r w:rsidR="00DA3C9F">
        <w:rPr>
          <w:rFonts w:ascii="Times New Roman" w:hAnsi="Times New Roman" w:cs="Times New Roman"/>
          <w:sz w:val="24"/>
          <w:szCs w:val="24"/>
        </w:rPr>
        <w:t xml:space="preserve"> p</w:t>
      </w:r>
      <w:r w:rsidR="00DA3C9F" w:rsidRPr="00DA3C9F">
        <w:rPr>
          <w:rFonts w:ascii="Times New Roman" w:hAnsi="Times New Roman" w:cs="Times New Roman"/>
          <w:sz w:val="24"/>
          <w:szCs w:val="24"/>
        </w:rPr>
        <w:t>retendent</w:t>
      </w:r>
      <w:r w:rsidR="00DA3C9F">
        <w:rPr>
          <w:rFonts w:ascii="Times New Roman" w:hAnsi="Times New Roman" w:cs="Times New Roman"/>
          <w:sz w:val="24"/>
          <w:szCs w:val="24"/>
        </w:rPr>
        <w:t>s, kas iesniedzis piedāvājumu par Iepirkuma 2.daļu</w:t>
      </w:r>
      <w:r w:rsidR="00DA3C9F" w:rsidRPr="00DA3C9F">
        <w:rPr>
          <w:rFonts w:ascii="Times New Roman" w:hAnsi="Times New Roman" w:cs="Times New Roman"/>
          <w:sz w:val="24"/>
          <w:szCs w:val="24"/>
        </w:rPr>
        <w:t xml:space="preserve"> neatbilst </w:t>
      </w:r>
      <w:r w:rsidR="00DA3C9F">
        <w:rPr>
          <w:rFonts w:ascii="Times New Roman" w:hAnsi="Times New Roman" w:cs="Times New Roman"/>
          <w:sz w:val="24"/>
          <w:szCs w:val="24"/>
        </w:rPr>
        <w:t>I</w:t>
      </w:r>
      <w:r w:rsidR="00DA3C9F" w:rsidRPr="00DA3C9F">
        <w:rPr>
          <w:rFonts w:ascii="Times New Roman" w:hAnsi="Times New Roman" w:cs="Times New Roman"/>
          <w:sz w:val="24"/>
          <w:szCs w:val="24"/>
        </w:rPr>
        <w:t>epirkuma dokumentos noteiktajām kvalifikācijas prasībā</w:t>
      </w:r>
      <w:r w:rsidR="00DA3C9F">
        <w:rPr>
          <w:rFonts w:ascii="Times New Roman" w:hAnsi="Times New Roman" w:cs="Times New Roman"/>
          <w:sz w:val="24"/>
          <w:szCs w:val="24"/>
        </w:rPr>
        <w:t>m</w:t>
      </w:r>
      <w:r w:rsidRPr="000476E7">
        <w:rPr>
          <w:rFonts w:ascii="Times New Roman" w:hAnsi="Times New Roman" w:cs="Times New Roman"/>
          <w:sz w:val="24"/>
          <w:szCs w:val="24"/>
        </w:rPr>
        <w:t>, Iepirkum</w:t>
      </w:r>
      <w:r w:rsidR="00B37C39">
        <w:rPr>
          <w:rFonts w:ascii="Times New Roman" w:hAnsi="Times New Roman" w:cs="Times New Roman"/>
          <w:sz w:val="24"/>
          <w:szCs w:val="24"/>
        </w:rPr>
        <w:t>u</w:t>
      </w:r>
      <w:r w:rsidRPr="000476E7">
        <w:rPr>
          <w:rFonts w:ascii="Times New Roman" w:hAnsi="Times New Roman" w:cs="Times New Roman"/>
          <w:sz w:val="24"/>
          <w:szCs w:val="24"/>
        </w:rPr>
        <w:t xml:space="preserve"> komisija nolemj izbeigt iepirkumu šajā daļā.</w:t>
      </w:r>
    </w:p>
    <w:p w:rsidR="00797DF5" w:rsidRDefault="00797DF5" w:rsidP="00797DF5">
      <w:pPr>
        <w:ind w:firstLine="720"/>
        <w:jc w:val="both"/>
        <w:rPr>
          <w:rFonts w:ascii="Times New Roman" w:hAnsi="Times New Roman" w:cs="Times New Roman"/>
          <w:sz w:val="24"/>
          <w:szCs w:val="24"/>
        </w:rPr>
      </w:pPr>
      <w:r>
        <w:rPr>
          <w:rFonts w:ascii="Times New Roman" w:hAnsi="Times New Roman" w:cs="Times New Roman"/>
          <w:sz w:val="24"/>
          <w:szCs w:val="24"/>
        </w:rPr>
        <w:t>Tā kā par Iepirkuma 3.daļu nav iesniegts</w:t>
      </w:r>
      <w:r w:rsidRPr="00596286">
        <w:rPr>
          <w:rFonts w:ascii="Times New Roman" w:hAnsi="Times New Roman" w:cs="Times New Roman"/>
          <w:sz w:val="24"/>
          <w:szCs w:val="24"/>
        </w:rPr>
        <w:t xml:space="preserve"> piedāvājum</w:t>
      </w:r>
      <w:r>
        <w:rPr>
          <w:rFonts w:ascii="Times New Roman" w:hAnsi="Times New Roman" w:cs="Times New Roman"/>
          <w:sz w:val="24"/>
          <w:szCs w:val="24"/>
        </w:rPr>
        <w:t>s, Iepirkumu komisija nolemj izbeigt iepirkumu šajā daļā.</w:t>
      </w:r>
    </w:p>
    <w:p w:rsidR="00797DF5" w:rsidRDefault="00C63E9B" w:rsidP="00797DF5">
      <w:pPr>
        <w:spacing w:after="0"/>
        <w:ind w:firstLine="720"/>
        <w:jc w:val="both"/>
        <w:rPr>
          <w:rFonts w:ascii="Times New Roman" w:hAnsi="Times New Roman" w:cs="Times New Roman"/>
          <w:sz w:val="24"/>
          <w:szCs w:val="24"/>
        </w:rPr>
      </w:pPr>
      <w:r>
        <w:rPr>
          <w:rFonts w:ascii="Times New Roman" w:hAnsi="Times New Roman" w:cs="Times New Roman"/>
          <w:sz w:val="24"/>
          <w:szCs w:val="24"/>
        </w:rPr>
        <w:t>A.Graudiņa</w:t>
      </w:r>
      <w:r w:rsidR="00797DF5" w:rsidRPr="005D2661">
        <w:rPr>
          <w:rFonts w:ascii="Times New Roman" w:hAnsi="Times New Roman" w:cs="Times New Roman"/>
          <w:sz w:val="24"/>
          <w:szCs w:val="24"/>
        </w:rPr>
        <w:t xml:space="preserve"> informē, ka, ņemot vērā, ka Iepirkuma piedāvājuma izvēles kritērijs ir – viszemākā kopējā līgumcena par katru iepirkuma līguma daļu atsevišķi (bez PVN), kas atbilst Iepirkumā minētajām prasībām, līguma slēgšanas tiesības par </w:t>
      </w:r>
      <w:r w:rsidR="00797DF5">
        <w:rPr>
          <w:rFonts w:ascii="Times New Roman" w:hAnsi="Times New Roman" w:cs="Times New Roman"/>
          <w:sz w:val="24"/>
          <w:szCs w:val="24"/>
        </w:rPr>
        <w:t xml:space="preserve">Iepirkuma </w:t>
      </w:r>
      <w:r w:rsidR="00797DF5" w:rsidRPr="0034457B">
        <w:rPr>
          <w:rFonts w:ascii="Times New Roman" w:hAnsi="Times New Roman" w:cs="Times New Roman"/>
          <w:sz w:val="24"/>
          <w:szCs w:val="24"/>
        </w:rPr>
        <w:t>1., 4., 5., 6., 7. un 8.daļu</w:t>
      </w:r>
      <w:r w:rsidR="00797DF5">
        <w:rPr>
          <w:rFonts w:ascii="Times New Roman" w:hAnsi="Times New Roman" w:cs="Times New Roman"/>
          <w:sz w:val="24"/>
          <w:szCs w:val="24"/>
        </w:rPr>
        <w:t xml:space="preserve"> piešķiramas </w:t>
      </w:r>
      <w:r w:rsidR="00797DF5" w:rsidRPr="002A7A10">
        <w:rPr>
          <w:rFonts w:ascii="Times New Roman" w:hAnsi="Times New Roman" w:cs="Times New Roman"/>
          <w:sz w:val="24"/>
          <w:szCs w:val="24"/>
        </w:rPr>
        <w:t xml:space="preserve">SIA "Ķemers </w:t>
      </w:r>
      <w:proofErr w:type="spellStart"/>
      <w:r w:rsidR="00797DF5" w:rsidRPr="002A7A10">
        <w:rPr>
          <w:rFonts w:ascii="Times New Roman" w:hAnsi="Times New Roman" w:cs="Times New Roman"/>
          <w:sz w:val="24"/>
          <w:szCs w:val="24"/>
        </w:rPr>
        <w:t>Business</w:t>
      </w:r>
      <w:proofErr w:type="spellEnd"/>
      <w:r w:rsidR="00797DF5" w:rsidRPr="002A7A10">
        <w:rPr>
          <w:rFonts w:ascii="Times New Roman" w:hAnsi="Times New Roman" w:cs="Times New Roman"/>
          <w:sz w:val="24"/>
          <w:szCs w:val="24"/>
        </w:rPr>
        <w:t xml:space="preserve"> </w:t>
      </w:r>
      <w:proofErr w:type="spellStart"/>
      <w:r w:rsidR="00797DF5" w:rsidRPr="002A7A10">
        <w:rPr>
          <w:rFonts w:ascii="Times New Roman" w:hAnsi="Times New Roman" w:cs="Times New Roman"/>
          <w:sz w:val="24"/>
          <w:szCs w:val="24"/>
        </w:rPr>
        <w:t>and</w:t>
      </w:r>
      <w:proofErr w:type="spellEnd"/>
      <w:r w:rsidR="00797DF5" w:rsidRPr="002A7A10">
        <w:rPr>
          <w:rFonts w:ascii="Times New Roman" w:hAnsi="Times New Roman" w:cs="Times New Roman"/>
          <w:sz w:val="24"/>
          <w:szCs w:val="24"/>
        </w:rPr>
        <w:t xml:space="preserve"> </w:t>
      </w:r>
      <w:proofErr w:type="spellStart"/>
      <w:r w:rsidR="00797DF5" w:rsidRPr="002A7A10">
        <w:rPr>
          <w:rFonts w:ascii="Times New Roman" w:hAnsi="Times New Roman" w:cs="Times New Roman"/>
          <w:sz w:val="24"/>
          <w:szCs w:val="24"/>
        </w:rPr>
        <w:t>Law</w:t>
      </w:r>
      <w:proofErr w:type="spellEnd"/>
      <w:r w:rsidR="00797DF5" w:rsidRPr="002A7A10">
        <w:rPr>
          <w:rFonts w:ascii="Times New Roman" w:hAnsi="Times New Roman" w:cs="Times New Roman"/>
          <w:sz w:val="24"/>
          <w:szCs w:val="24"/>
        </w:rPr>
        <w:t xml:space="preserve"> </w:t>
      </w:r>
      <w:proofErr w:type="spellStart"/>
      <w:r w:rsidR="00797DF5" w:rsidRPr="002A7A10">
        <w:rPr>
          <w:rFonts w:ascii="Times New Roman" w:hAnsi="Times New Roman" w:cs="Times New Roman"/>
          <w:sz w:val="24"/>
          <w:szCs w:val="24"/>
        </w:rPr>
        <w:t>Company</w:t>
      </w:r>
      <w:proofErr w:type="spellEnd"/>
      <w:r w:rsidR="00797DF5" w:rsidRPr="002A7A10">
        <w:rPr>
          <w:rFonts w:ascii="Times New Roman" w:hAnsi="Times New Roman" w:cs="Times New Roman"/>
          <w:sz w:val="24"/>
          <w:szCs w:val="24"/>
        </w:rPr>
        <w:t>", reģistrācijas Nr.44103061476</w:t>
      </w:r>
      <w:r w:rsidR="00797DF5">
        <w:rPr>
          <w:rFonts w:ascii="Times New Roman" w:hAnsi="Times New Roman" w:cs="Times New Roman"/>
          <w:sz w:val="24"/>
          <w:szCs w:val="24"/>
        </w:rPr>
        <w:t xml:space="preserve">, </w:t>
      </w:r>
      <w:r w:rsidR="00797DF5" w:rsidRPr="002A7A10">
        <w:rPr>
          <w:rFonts w:ascii="Times New Roman" w:hAnsi="Times New Roman" w:cs="Times New Roman"/>
          <w:sz w:val="24"/>
          <w:szCs w:val="24"/>
        </w:rPr>
        <w:t>Murdu iela 19a, Salacgrīva, Salacgrīvas novads, LV-4033</w:t>
      </w:r>
      <w:r w:rsidR="00797DF5">
        <w:rPr>
          <w:rFonts w:ascii="Times New Roman" w:hAnsi="Times New Roman" w:cs="Times New Roman"/>
          <w:sz w:val="24"/>
          <w:szCs w:val="24"/>
        </w:rPr>
        <w:t>.</w:t>
      </w:r>
    </w:p>
    <w:p w:rsidR="00797DF5" w:rsidRDefault="00797DF5" w:rsidP="00E67E05">
      <w:pPr>
        <w:spacing w:after="0"/>
        <w:ind w:firstLine="720"/>
        <w:jc w:val="both"/>
        <w:rPr>
          <w:rFonts w:ascii="Times New Roman" w:hAnsi="Times New Roman" w:cs="Times New Roman"/>
          <w:sz w:val="24"/>
          <w:szCs w:val="24"/>
        </w:rPr>
      </w:pPr>
      <w:r w:rsidRPr="007F2E2B">
        <w:rPr>
          <w:rFonts w:ascii="Times New Roman" w:hAnsi="Times New Roman" w:cs="Times New Roman"/>
          <w:sz w:val="24"/>
          <w:szCs w:val="24"/>
        </w:rPr>
        <w:t xml:space="preserve">Līguma slēgšanas tiesības par Iepirkuma </w:t>
      </w:r>
      <w:r>
        <w:rPr>
          <w:rFonts w:ascii="Times New Roman" w:hAnsi="Times New Roman" w:cs="Times New Roman"/>
          <w:sz w:val="24"/>
          <w:szCs w:val="24"/>
        </w:rPr>
        <w:t>9</w:t>
      </w:r>
      <w:r w:rsidRPr="007F2E2B">
        <w:rPr>
          <w:rFonts w:ascii="Times New Roman" w:hAnsi="Times New Roman" w:cs="Times New Roman"/>
          <w:sz w:val="24"/>
          <w:szCs w:val="24"/>
        </w:rPr>
        <w:t>.daļu piešķiramas SIA "D.N.H.",</w:t>
      </w:r>
      <w:r w:rsidRPr="007F2E2B">
        <w:rPr>
          <w:rFonts w:ascii="Times New Roman" w:hAnsi="Times New Roman" w:cs="Times New Roman"/>
        </w:rPr>
        <w:t xml:space="preserve"> </w:t>
      </w:r>
      <w:r w:rsidRPr="007F2E2B">
        <w:rPr>
          <w:rFonts w:ascii="Times New Roman" w:hAnsi="Times New Roman" w:cs="Times New Roman"/>
          <w:sz w:val="24"/>
          <w:szCs w:val="24"/>
        </w:rPr>
        <w:t xml:space="preserve">reģistrācijas Nr.40103612268, </w:t>
      </w:r>
      <w:r w:rsidRPr="00912594">
        <w:rPr>
          <w:rFonts w:ascii="Times New Roman" w:hAnsi="Times New Roman" w:cs="Times New Roman"/>
          <w:sz w:val="24"/>
          <w:szCs w:val="24"/>
        </w:rPr>
        <w:t>V.Olava iela 9 - 1, Rīga, LV-1014</w:t>
      </w:r>
      <w:r>
        <w:rPr>
          <w:rFonts w:ascii="Times New Roman" w:hAnsi="Times New Roman" w:cs="Times New Roman"/>
          <w:sz w:val="24"/>
          <w:szCs w:val="24"/>
        </w:rPr>
        <w:t>.</w:t>
      </w:r>
      <w:bookmarkStart w:id="6" w:name="_GoBack"/>
      <w:bookmarkEnd w:id="6"/>
    </w:p>
    <w:p w:rsidR="00797DF5" w:rsidRDefault="00797DF5" w:rsidP="00797DF5">
      <w:pPr>
        <w:spacing w:after="0"/>
        <w:ind w:firstLine="720"/>
        <w:jc w:val="both"/>
        <w:rPr>
          <w:rFonts w:ascii="Times New Roman" w:hAnsi="Times New Roman" w:cs="Times New Roman"/>
          <w:sz w:val="24"/>
          <w:szCs w:val="24"/>
        </w:rPr>
      </w:pPr>
      <w:r w:rsidRPr="007F2E2B">
        <w:rPr>
          <w:rFonts w:ascii="Times New Roman" w:hAnsi="Times New Roman" w:cs="Times New Roman"/>
          <w:sz w:val="24"/>
          <w:szCs w:val="24"/>
        </w:rPr>
        <w:t>Iepirkumu komisija vērtējot, vai pretendentu iesniegtie piedāvājumi nav nepamatoti lēti, konstatēja, ka nav pamata uzskatīt pretendentu iesniegtos piedāvājumus par nepamatoti lētiem.</w:t>
      </w:r>
    </w:p>
    <w:p w:rsidR="00797DF5" w:rsidRDefault="00797DF5" w:rsidP="00797DF5">
      <w:pPr>
        <w:spacing w:after="0"/>
        <w:jc w:val="both"/>
        <w:rPr>
          <w:rFonts w:ascii="Times New Roman" w:hAnsi="Times New Roman" w:cs="Times New Roman"/>
          <w:b/>
          <w:sz w:val="24"/>
          <w:szCs w:val="24"/>
          <w:u w:val="single"/>
        </w:rPr>
      </w:pPr>
    </w:p>
    <w:p w:rsidR="00797DF5" w:rsidRPr="00DB426F" w:rsidRDefault="00797DF5" w:rsidP="00797DF5">
      <w:pPr>
        <w:spacing w:after="0"/>
        <w:jc w:val="both"/>
        <w:rPr>
          <w:rFonts w:ascii="Times New Roman" w:hAnsi="Times New Roman" w:cs="Times New Roman"/>
          <w:b/>
          <w:sz w:val="24"/>
          <w:szCs w:val="24"/>
          <w:u w:val="single"/>
        </w:rPr>
      </w:pPr>
      <w:r w:rsidRPr="00DB426F">
        <w:rPr>
          <w:rFonts w:ascii="Times New Roman" w:hAnsi="Times New Roman" w:cs="Times New Roman"/>
          <w:b/>
          <w:sz w:val="24"/>
          <w:szCs w:val="24"/>
          <w:u w:val="single"/>
        </w:rPr>
        <w:t>Iepirkumu komisijas lēmums:</w:t>
      </w:r>
    </w:p>
    <w:p w:rsidR="00797DF5" w:rsidRPr="00DB426F" w:rsidRDefault="00797DF5" w:rsidP="00797DF5">
      <w:pPr>
        <w:pStyle w:val="ListParagraph"/>
        <w:numPr>
          <w:ilvl w:val="0"/>
          <w:numId w:val="5"/>
        </w:numPr>
        <w:spacing w:after="0"/>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Par Ieslodzījuma vietu pārvaldes rīkotā Iepirkuma </w:t>
      </w:r>
      <w:r w:rsidRPr="007F2E2B">
        <w:rPr>
          <w:rFonts w:ascii="Times New Roman" w:hAnsi="Times New Roman" w:cs="Times New Roman"/>
          <w:sz w:val="24"/>
          <w:szCs w:val="24"/>
        </w:rPr>
        <w:t>1., 4., 5., 6., 7. un 8.daļ</w:t>
      </w:r>
      <w:r>
        <w:rPr>
          <w:rFonts w:ascii="Times New Roman" w:hAnsi="Times New Roman" w:cs="Times New Roman"/>
          <w:sz w:val="24"/>
          <w:szCs w:val="24"/>
        </w:rPr>
        <w:t>as</w:t>
      </w:r>
      <w:r w:rsidRPr="007F2E2B">
        <w:rPr>
          <w:rFonts w:ascii="Times New Roman" w:hAnsi="Times New Roman" w:cs="Times New Roman"/>
          <w:sz w:val="24"/>
          <w:szCs w:val="24"/>
        </w:rPr>
        <w:t xml:space="preserve"> </w:t>
      </w:r>
      <w:r w:rsidRPr="00DB426F">
        <w:rPr>
          <w:rFonts w:ascii="Times New Roman" w:hAnsi="Times New Roman" w:cs="Times New Roman"/>
          <w:sz w:val="24"/>
          <w:szCs w:val="24"/>
        </w:rPr>
        <w:t xml:space="preserve">uzvarētāju atzīt un līgumslēgšanas tiesības piešķirt </w:t>
      </w:r>
      <w:r w:rsidRPr="007F2E2B">
        <w:rPr>
          <w:rFonts w:ascii="Times New Roman" w:hAnsi="Times New Roman" w:cs="Times New Roman"/>
          <w:sz w:val="24"/>
          <w:szCs w:val="24"/>
        </w:rPr>
        <w:t xml:space="preserve">SIA "Ķemers </w:t>
      </w:r>
      <w:proofErr w:type="spellStart"/>
      <w:r w:rsidRPr="007F2E2B">
        <w:rPr>
          <w:rFonts w:ascii="Times New Roman" w:hAnsi="Times New Roman" w:cs="Times New Roman"/>
          <w:sz w:val="24"/>
          <w:szCs w:val="24"/>
        </w:rPr>
        <w:t>Business</w:t>
      </w:r>
      <w:proofErr w:type="spellEnd"/>
      <w:r w:rsidRPr="007F2E2B">
        <w:rPr>
          <w:rFonts w:ascii="Times New Roman" w:hAnsi="Times New Roman" w:cs="Times New Roman"/>
          <w:sz w:val="24"/>
          <w:szCs w:val="24"/>
        </w:rPr>
        <w:t xml:space="preserve"> </w:t>
      </w:r>
      <w:proofErr w:type="spellStart"/>
      <w:r w:rsidRPr="007F2E2B">
        <w:rPr>
          <w:rFonts w:ascii="Times New Roman" w:hAnsi="Times New Roman" w:cs="Times New Roman"/>
          <w:sz w:val="24"/>
          <w:szCs w:val="24"/>
        </w:rPr>
        <w:t>and</w:t>
      </w:r>
      <w:proofErr w:type="spellEnd"/>
      <w:r w:rsidRPr="007F2E2B">
        <w:rPr>
          <w:rFonts w:ascii="Times New Roman" w:hAnsi="Times New Roman" w:cs="Times New Roman"/>
          <w:sz w:val="24"/>
          <w:szCs w:val="24"/>
        </w:rPr>
        <w:t xml:space="preserve"> </w:t>
      </w:r>
      <w:proofErr w:type="spellStart"/>
      <w:r w:rsidRPr="007F2E2B">
        <w:rPr>
          <w:rFonts w:ascii="Times New Roman" w:hAnsi="Times New Roman" w:cs="Times New Roman"/>
          <w:sz w:val="24"/>
          <w:szCs w:val="24"/>
        </w:rPr>
        <w:t>Law</w:t>
      </w:r>
      <w:proofErr w:type="spellEnd"/>
      <w:r w:rsidRPr="007F2E2B">
        <w:rPr>
          <w:rFonts w:ascii="Times New Roman" w:hAnsi="Times New Roman" w:cs="Times New Roman"/>
          <w:sz w:val="24"/>
          <w:szCs w:val="24"/>
        </w:rPr>
        <w:t xml:space="preserve"> </w:t>
      </w:r>
      <w:proofErr w:type="spellStart"/>
      <w:r w:rsidRPr="007F2E2B">
        <w:rPr>
          <w:rFonts w:ascii="Times New Roman" w:hAnsi="Times New Roman" w:cs="Times New Roman"/>
          <w:sz w:val="24"/>
          <w:szCs w:val="24"/>
        </w:rPr>
        <w:t>Company</w:t>
      </w:r>
      <w:proofErr w:type="spellEnd"/>
      <w:r w:rsidRPr="007F2E2B">
        <w:rPr>
          <w:rFonts w:ascii="Times New Roman" w:hAnsi="Times New Roman" w:cs="Times New Roman"/>
          <w:sz w:val="24"/>
          <w:szCs w:val="24"/>
        </w:rPr>
        <w:t>", reģistrācijas Nr.44103061476, Murdu iela 19a, Salacgrīva, Salacgrīvas novads, LV-4033.</w:t>
      </w:r>
    </w:p>
    <w:p w:rsidR="00797DF5" w:rsidRDefault="00797DF5" w:rsidP="00797DF5">
      <w:pPr>
        <w:pStyle w:val="ListParagraph"/>
        <w:numPr>
          <w:ilvl w:val="0"/>
          <w:numId w:val="5"/>
        </w:numPr>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Par Ieslodzījuma vietu pārvaldes rīkotā Iepirkuma </w:t>
      </w:r>
      <w:r>
        <w:rPr>
          <w:rFonts w:ascii="Times New Roman" w:hAnsi="Times New Roman" w:cs="Times New Roman"/>
          <w:sz w:val="24"/>
          <w:szCs w:val="24"/>
        </w:rPr>
        <w:t>9</w:t>
      </w:r>
      <w:r w:rsidRPr="00DB426F">
        <w:rPr>
          <w:rFonts w:ascii="Times New Roman" w:hAnsi="Times New Roman" w:cs="Times New Roman"/>
          <w:sz w:val="24"/>
          <w:szCs w:val="24"/>
        </w:rPr>
        <w:t>.daļ</w:t>
      </w:r>
      <w:r>
        <w:rPr>
          <w:rFonts w:ascii="Times New Roman" w:hAnsi="Times New Roman" w:cs="Times New Roman"/>
          <w:sz w:val="24"/>
          <w:szCs w:val="24"/>
        </w:rPr>
        <w:t>as</w:t>
      </w:r>
      <w:r w:rsidRPr="00DB426F">
        <w:rPr>
          <w:rFonts w:ascii="Times New Roman" w:hAnsi="Times New Roman" w:cs="Times New Roman"/>
          <w:sz w:val="24"/>
          <w:szCs w:val="24"/>
        </w:rPr>
        <w:t xml:space="preserve"> uzvarētāju atzīt un līgumslēgšanas tiesības piešķirt </w:t>
      </w:r>
      <w:r w:rsidRPr="007F2E2B">
        <w:rPr>
          <w:rFonts w:ascii="Times New Roman" w:hAnsi="Times New Roman" w:cs="Times New Roman"/>
          <w:sz w:val="24"/>
          <w:szCs w:val="24"/>
        </w:rPr>
        <w:t>SIA "D.N.H.",</w:t>
      </w:r>
      <w:r w:rsidRPr="007F2E2B">
        <w:rPr>
          <w:rFonts w:ascii="Times New Roman" w:hAnsi="Times New Roman" w:cs="Times New Roman"/>
        </w:rPr>
        <w:t xml:space="preserve"> </w:t>
      </w:r>
      <w:r w:rsidRPr="007F2E2B">
        <w:rPr>
          <w:rFonts w:ascii="Times New Roman" w:hAnsi="Times New Roman" w:cs="Times New Roman"/>
          <w:sz w:val="24"/>
          <w:szCs w:val="24"/>
        </w:rPr>
        <w:t xml:space="preserve">reģistrācijas Nr.40103612268, </w:t>
      </w:r>
      <w:r w:rsidRPr="00912594">
        <w:rPr>
          <w:rFonts w:ascii="Times New Roman" w:hAnsi="Times New Roman" w:cs="Times New Roman"/>
          <w:sz w:val="24"/>
          <w:szCs w:val="24"/>
        </w:rPr>
        <w:t>V.Olava iela 9 - 1, Rīga, LV-1014</w:t>
      </w:r>
      <w:r>
        <w:rPr>
          <w:rFonts w:ascii="Times New Roman" w:hAnsi="Times New Roman" w:cs="Times New Roman"/>
          <w:sz w:val="24"/>
          <w:szCs w:val="24"/>
        </w:rPr>
        <w:t>.</w:t>
      </w:r>
    </w:p>
    <w:p w:rsidR="00797DF5" w:rsidRPr="006B20CC" w:rsidRDefault="00797DF5" w:rsidP="00797DF5">
      <w:pPr>
        <w:pStyle w:val="ListParagraph"/>
        <w:numPr>
          <w:ilvl w:val="0"/>
          <w:numId w:val="5"/>
        </w:numPr>
        <w:ind w:left="567" w:hanging="425"/>
        <w:jc w:val="both"/>
        <w:rPr>
          <w:rFonts w:ascii="Times New Roman" w:hAnsi="Times New Roman" w:cs="Times New Roman"/>
          <w:sz w:val="24"/>
          <w:szCs w:val="24"/>
        </w:rPr>
      </w:pPr>
      <w:r>
        <w:rPr>
          <w:rFonts w:ascii="Times New Roman" w:hAnsi="Times New Roman" w:cs="Times New Roman"/>
          <w:sz w:val="24"/>
          <w:szCs w:val="24"/>
        </w:rPr>
        <w:t>Izbeigt</w:t>
      </w:r>
      <w:r w:rsidRPr="006B20CC">
        <w:rPr>
          <w:rFonts w:ascii="Times New Roman" w:hAnsi="Times New Roman" w:cs="Times New Roman"/>
          <w:sz w:val="24"/>
          <w:szCs w:val="24"/>
        </w:rPr>
        <w:t xml:space="preserve"> iepirkumu “Semināru norises un viesnīcu nodrošināšanas pakalpojumi (ēdināšanas pakalpojumi, telpu noma, naktsmītnes)” </w:t>
      </w:r>
      <w:r>
        <w:rPr>
          <w:rFonts w:ascii="Times New Roman" w:hAnsi="Times New Roman" w:cs="Times New Roman"/>
          <w:sz w:val="24"/>
          <w:szCs w:val="24"/>
        </w:rPr>
        <w:t>2. un 3</w:t>
      </w:r>
      <w:r w:rsidRPr="006B20CC">
        <w:rPr>
          <w:rFonts w:ascii="Times New Roman" w:hAnsi="Times New Roman" w:cs="Times New Roman"/>
          <w:sz w:val="24"/>
          <w:szCs w:val="24"/>
        </w:rPr>
        <w:t>.daļā, identifikācijas Nr.</w:t>
      </w:r>
      <w:proofErr w:type="gramStart"/>
      <w:r w:rsidRPr="006B20CC">
        <w:rPr>
          <w:rFonts w:ascii="Times New Roman" w:hAnsi="Times New Roman" w:cs="Times New Roman"/>
          <w:sz w:val="24"/>
          <w:szCs w:val="24"/>
        </w:rPr>
        <w:t xml:space="preserve">  </w:t>
      </w:r>
      <w:proofErr w:type="gramEnd"/>
      <w:r w:rsidRPr="006B20CC">
        <w:rPr>
          <w:rFonts w:ascii="Times New Roman" w:hAnsi="Times New Roman" w:cs="Times New Roman"/>
          <w:sz w:val="24"/>
          <w:szCs w:val="24"/>
        </w:rPr>
        <w:t>IeVP 2018/</w:t>
      </w:r>
      <w:r>
        <w:rPr>
          <w:rFonts w:ascii="Times New Roman" w:hAnsi="Times New Roman" w:cs="Times New Roman"/>
          <w:sz w:val="24"/>
          <w:szCs w:val="24"/>
        </w:rPr>
        <w:t>35</w:t>
      </w:r>
      <w:r w:rsidRPr="006B20CC">
        <w:rPr>
          <w:rFonts w:ascii="Times New Roman" w:hAnsi="Times New Roman" w:cs="Times New Roman"/>
          <w:sz w:val="24"/>
          <w:szCs w:val="24"/>
        </w:rPr>
        <w:t>/ESF.</w:t>
      </w:r>
    </w:p>
    <w:p w:rsidR="00797DF5" w:rsidRDefault="00797DF5" w:rsidP="00797DF5">
      <w:pPr>
        <w:pStyle w:val="ListParagraph"/>
        <w:numPr>
          <w:ilvl w:val="0"/>
          <w:numId w:val="5"/>
        </w:numPr>
        <w:ind w:left="567" w:hanging="425"/>
        <w:jc w:val="both"/>
        <w:rPr>
          <w:rFonts w:ascii="Times New Roman" w:hAnsi="Times New Roman" w:cs="Times New Roman"/>
          <w:sz w:val="24"/>
          <w:szCs w:val="24"/>
        </w:rPr>
      </w:pPr>
      <w:r w:rsidRPr="00DB426F">
        <w:rPr>
          <w:rFonts w:ascii="Times New Roman" w:hAnsi="Times New Roman" w:cs="Times New Roman"/>
          <w:sz w:val="24"/>
          <w:szCs w:val="24"/>
        </w:rPr>
        <w:t xml:space="preserve">Saskaņā ar </w:t>
      </w:r>
      <w:r>
        <w:rPr>
          <w:rFonts w:ascii="Times New Roman" w:hAnsi="Times New Roman" w:cs="Times New Roman"/>
          <w:sz w:val="24"/>
          <w:szCs w:val="24"/>
        </w:rPr>
        <w:t>Publisko iepirkumu likuma</w:t>
      </w:r>
      <w:r w:rsidRPr="00DB426F">
        <w:rPr>
          <w:rFonts w:ascii="Times New Roman" w:hAnsi="Times New Roman" w:cs="Times New Roman"/>
          <w:sz w:val="24"/>
          <w:szCs w:val="24"/>
        </w:rPr>
        <w:t xml:space="preserve"> </w:t>
      </w:r>
      <w:proofErr w:type="gramStart"/>
      <w:r w:rsidRPr="00DB426F">
        <w:rPr>
          <w:rFonts w:ascii="Times New Roman" w:hAnsi="Times New Roman" w:cs="Times New Roman"/>
          <w:sz w:val="24"/>
          <w:szCs w:val="24"/>
        </w:rPr>
        <w:t>37.panta</w:t>
      </w:r>
      <w:proofErr w:type="gramEnd"/>
      <w:r w:rsidRPr="00DB426F">
        <w:rPr>
          <w:rFonts w:ascii="Times New Roman" w:hAnsi="Times New Roman" w:cs="Times New Roman"/>
          <w:sz w:val="24"/>
          <w:szCs w:val="24"/>
        </w:rPr>
        <w:t xml:space="preserve"> otrās daļas nosacījumiem, informēt visus pretendentus par Iepirkumu komisijas lēmuma triju darbdienu laikā pēc Iepirkumu komisijas lēmuma pieņemšanas.</w:t>
      </w:r>
    </w:p>
    <w:p w:rsidR="00797DF5" w:rsidRPr="006B20CC" w:rsidRDefault="00797DF5" w:rsidP="00797DF5">
      <w:pPr>
        <w:pStyle w:val="ListParagraph"/>
        <w:numPr>
          <w:ilvl w:val="0"/>
          <w:numId w:val="5"/>
        </w:numPr>
        <w:ind w:left="567" w:hanging="425"/>
        <w:jc w:val="both"/>
        <w:rPr>
          <w:rFonts w:ascii="Times New Roman" w:hAnsi="Times New Roman" w:cs="Times New Roman"/>
          <w:sz w:val="24"/>
          <w:szCs w:val="24"/>
        </w:rPr>
      </w:pPr>
      <w:r w:rsidRPr="006B20CC">
        <w:rPr>
          <w:rFonts w:ascii="Times New Roman" w:hAnsi="Times New Roman" w:cs="Times New Roman"/>
          <w:sz w:val="24"/>
          <w:szCs w:val="24"/>
        </w:rPr>
        <w:t xml:space="preserve">Saskaņā ar </w:t>
      </w:r>
      <w:r>
        <w:rPr>
          <w:rFonts w:ascii="Times New Roman" w:hAnsi="Times New Roman" w:cs="Times New Roman"/>
          <w:sz w:val="24"/>
          <w:szCs w:val="24"/>
        </w:rPr>
        <w:t>Publisko iepirkumu likuma</w:t>
      </w:r>
      <w:r w:rsidRPr="006B20CC">
        <w:rPr>
          <w:rFonts w:ascii="Times New Roman" w:hAnsi="Times New Roman" w:cs="Times New Roman"/>
          <w:sz w:val="24"/>
          <w:szCs w:val="24"/>
        </w:rPr>
        <w:t xml:space="preserve"> 32. panta otro daļu par paziņojumiem par sociālajiem un citiem īpašiem pakalpojumiem, publicēt informāciju par iepirkuma rezultātiem Iepirkumu biroja tīmekļvietnē 10 darbdienu laikā.</w:t>
      </w:r>
    </w:p>
    <w:p w:rsidR="00797DF5" w:rsidRPr="00CF1DA6" w:rsidRDefault="00797DF5" w:rsidP="00797DF5">
      <w:pPr>
        <w:pStyle w:val="ListParagraph"/>
        <w:spacing w:after="0" w:line="240" w:lineRule="auto"/>
        <w:jc w:val="both"/>
        <w:rPr>
          <w:rFonts w:ascii="Times New Roman" w:hAnsi="Times New Roman" w:cs="Times New Roman"/>
          <w:sz w:val="24"/>
          <w:szCs w:val="24"/>
        </w:rPr>
      </w:pPr>
    </w:p>
    <w:p w:rsidR="00797DF5" w:rsidRDefault="00797DF5" w:rsidP="00797DF5">
      <w:pPr>
        <w:spacing w:after="0" w:line="240" w:lineRule="auto"/>
        <w:jc w:val="both"/>
        <w:rPr>
          <w:rFonts w:ascii="Times New Roman" w:hAnsi="Times New Roman" w:cs="Times New Roman"/>
          <w:sz w:val="24"/>
          <w:szCs w:val="24"/>
        </w:rPr>
      </w:pPr>
      <w:r w:rsidRPr="00C5116E">
        <w:rPr>
          <w:rFonts w:ascii="Times New Roman" w:hAnsi="Times New Roman" w:cs="Times New Roman"/>
          <w:sz w:val="24"/>
          <w:szCs w:val="24"/>
        </w:rPr>
        <w:t>Piedāvājumu vērtēšanas sēde tiek slēgta plkst.</w:t>
      </w:r>
      <w:r w:rsidR="00C5116E" w:rsidRPr="00C5116E">
        <w:rPr>
          <w:rFonts w:ascii="Times New Roman" w:hAnsi="Times New Roman" w:cs="Times New Roman"/>
          <w:sz w:val="24"/>
          <w:szCs w:val="24"/>
        </w:rPr>
        <w:t>10.00</w:t>
      </w:r>
    </w:p>
    <w:p w:rsidR="00797DF5" w:rsidRDefault="00797DF5" w:rsidP="00797DF5">
      <w:pPr>
        <w:spacing w:after="0" w:line="240" w:lineRule="auto"/>
        <w:jc w:val="both"/>
        <w:rPr>
          <w:rFonts w:ascii="Times New Roman" w:hAnsi="Times New Roman" w:cs="Times New Roman"/>
          <w:sz w:val="24"/>
          <w:szCs w:val="24"/>
        </w:rPr>
      </w:pPr>
    </w:p>
    <w:p w:rsidR="00797DF5" w:rsidRPr="00DF6F31" w:rsidRDefault="00797DF5" w:rsidP="00797DF5">
      <w:pPr>
        <w:ind w:right="-2"/>
        <w:jc w:val="both"/>
        <w:rPr>
          <w:rFonts w:ascii="Times New Roman" w:hAnsi="Times New Roman" w:cs="Times New Roman"/>
          <w:noProof/>
        </w:rPr>
      </w:pPr>
      <w:r w:rsidRPr="00DF6F31">
        <w:rPr>
          <w:rFonts w:ascii="Times New Roman" w:hAnsi="Times New Roman" w:cs="Times New Roman"/>
          <w:noProof/>
        </w:rPr>
        <w:t xml:space="preserve">Iepirkuma komisijas priekšsēdētājs                                                                                   </w:t>
      </w:r>
      <w:r>
        <w:rPr>
          <w:rFonts w:ascii="Times New Roman" w:hAnsi="Times New Roman" w:cs="Times New Roman"/>
          <w:noProof/>
        </w:rPr>
        <w:t xml:space="preserve">   </w:t>
      </w:r>
      <w:r w:rsidRPr="00DF6F31">
        <w:rPr>
          <w:rFonts w:ascii="Times New Roman" w:hAnsi="Times New Roman" w:cs="Times New Roman"/>
          <w:noProof/>
        </w:rPr>
        <w:t xml:space="preserve">  M.Luste</w:t>
      </w:r>
    </w:p>
    <w:p w:rsidR="00797DF5" w:rsidRPr="00DF6F31" w:rsidRDefault="00797DF5" w:rsidP="00797DF5">
      <w:pPr>
        <w:ind w:right="-2"/>
        <w:jc w:val="both"/>
        <w:rPr>
          <w:rFonts w:ascii="Times New Roman" w:hAnsi="Times New Roman" w:cs="Times New Roman"/>
          <w:noProof/>
        </w:rPr>
      </w:pPr>
      <w:r w:rsidRPr="00DF6F31">
        <w:rPr>
          <w:rFonts w:ascii="Times New Roman" w:hAnsi="Times New Roman" w:cs="Times New Roman"/>
          <w:noProof/>
        </w:rPr>
        <w:t xml:space="preserve">Iepirkuma komisijas priekšsēdētāja vietniece                                                                 </w:t>
      </w:r>
      <w:r>
        <w:rPr>
          <w:rFonts w:ascii="Times New Roman" w:hAnsi="Times New Roman" w:cs="Times New Roman"/>
          <w:noProof/>
        </w:rPr>
        <w:t xml:space="preserve">     </w:t>
      </w:r>
      <w:r w:rsidRPr="00DF6F31">
        <w:rPr>
          <w:rFonts w:ascii="Times New Roman" w:hAnsi="Times New Roman" w:cs="Times New Roman"/>
          <w:noProof/>
        </w:rPr>
        <w:t xml:space="preserve">  I.Mališeva</w:t>
      </w:r>
    </w:p>
    <w:p w:rsidR="00797DF5" w:rsidRDefault="00797DF5" w:rsidP="00797DF5">
      <w:pPr>
        <w:ind w:right="-2"/>
        <w:jc w:val="both"/>
        <w:rPr>
          <w:rFonts w:ascii="Times New Roman" w:hAnsi="Times New Roman" w:cs="Times New Roman"/>
          <w:noProof/>
        </w:rPr>
      </w:pPr>
      <w:r w:rsidRPr="00DF6F31">
        <w:rPr>
          <w:rFonts w:ascii="Times New Roman" w:hAnsi="Times New Roman" w:cs="Times New Roman"/>
          <w:noProof/>
        </w:rPr>
        <w:t xml:space="preserve">Iepirkuma komisijas locekļi                                                                                                  </w:t>
      </w:r>
      <w:r>
        <w:rPr>
          <w:rFonts w:ascii="Times New Roman" w:hAnsi="Times New Roman" w:cs="Times New Roman"/>
          <w:noProof/>
        </w:rPr>
        <w:t>D.</w:t>
      </w:r>
      <w:r w:rsidR="0089768B">
        <w:rPr>
          <w:rFonts w:ascii="Times New Roman" w:hAnsi="Times New Roman" w:cs="Times New Roman"/>
          <w:noProof/>
        </w:rPr>
        <w:t>V</w:t>
      </w:r>
      <w:r>
        <w:rPr>
          <w:rFonts w:ascii="Times New Roman" w:hAnsi="Times New Roman" w:cs="Times New Roman"/>
          <w:noProof/>
        </w:rPr>
        <w:t>anaga</w:t>
      </w:r>
    </w:p>
    <w:p w:rsidR="00797DF5" w:rsidRDefault="00797DF5" w:rsidP="00797DF5">
      <w:pPr>
        <w:ind w:right="-2"/>
        <w:jc w:val="both"/>
        <w:rPr>
          <w:rFonts w:ascii="Times New Roman" w:hAnsi="Times New Roman" w:cs="Times New Roman"/>
          <w:noProof/>
        </w:rPr>
      </w:pPr>
      <w:r>
        <w:rPr>
          <w:rFonts w:ascii="Times New Roman" w:hAnsi="Times New Roman" w:cs="Times New Roman"/>
          <w:noProof/>
        </w:rPr>
        <w:t xml:space="preserve">                                                                                                                                               </w:t>
      </w:r>
      <w:r w:rsidRPr="00DF6F31">
        <w:rPr>
          <w:rFonts w:ascii="Times New Roman" w:hAnsi="Times New Roman" w:cs="Times New Roman"/>
          <w:noProof/>
        </w:rPr>
        <w:t xml:space="preserve"> J.Nicmanis</w:t>
      </w:r>
    </w:p>
    <w:p w:rsidR="00797DF5" w:rsidRPr="00DF6F31" w:rsidRDefault="00797DF5" w:rsidP="00797DF5">
      <w:pPr>
        <w:ind w:right="-2"/>
        <w:jc w:val="both"/>
        <w:rPr>
          <w:rFonts w:ascii="Times New Roman" w:hAnsi="Times New Roman" w:cs="Times New Roman"/>
          <w:noProof/>
        </w:rPr>
      </w:pPr>
      <w:r w:rsidRPr="00DF6F31">
        <w:rPr>
          <w:rFonts w:ascii="Times New Roman" w:hAnsi="Times New Roman" w:cs="Times New Roman"/>
          <w:noProof/>
        </w:rPr>
        <w:t xml:space="preserve">                                                                                                                                                A.Graudiņa</w:t>
      </w:r>
    </w:p>
    <w:p w:rsidR="00797DF5" w:rsidRPr="00DF6F31" w:rsidRDefault="00797DF5" w:rsidP="00797DF5">
      <w:pPr>
        <w:ind w:right="-2"/>
        <w:jc w:val="both"/>
        <w:rPr>
          <w:rFonts w:ascii="Times New Roman" w:hAnsi="Times New Roman" w:cs="Times New Roman"/>
          <w:noProof/>
        </w:rPr>
      </w:pPr>
      <w:r w:rsidRPr="00DF6F31">
        <w:rPr>
          <w:rFonts w:ascii="Times New Roman" w:hAnsi="Times New Roman" w:cs="Times New Roman"/>
          <w:noProof/>
        </w:rPr>
        <w:t xml:space="preserve">                                                                                                                                                U.Asariņa</w:t>
      </w:r>
    </w:p>
    <w:p w:rsidR="00797DF5" w:rsidRPr="00DF6F31" w:rsidRDefault="00797DF5" w:rsidP="00797DF5">
      <w:pPr>
        <w:ind w:right="-2"/>
        <w:jc w:val="both"/>
        <w:rPr>
          <w:rFonts w:ascii="Times New Roman" w:hAnsi="Times New Roman" w:cs="Times New Roman"/>
          <w:noProof/>
        </w:rPr>
      </w:pPr>
      <w:r w:rsidRPr="00DF6F31">
        <w:rPr>
          <w:rFonts w:ascii="Times New Roman" w:hAnsi="Times New Roman" w:cs="Times New Roman"/>
          <w:noProof/>
        </w:rPr>
        <w:t>Protokolētāja                                                                                                                           A.Graudiņa</w:t>
      </w:r>
    </w:p>
    <w:p w:rsidR="00CC16B7" w:rsidRPr="00797DF5" w:rsidRDefault="00CC16B7" w:rsidP="00797DF5">
      <w:pPr>
        <w:tabs>
          <w:tab w:val="left" w:pos="3915"/>
        </w:tabs>
        <w:sectPr w:rsidR="00CC16B7" w:rsidRPr="00797DF5" w:rsidSect="00797DF5">
          <w:pgSz w:w="11906" w:h="16838"/>
          <w:pgMar w:top="1701" w:right="1134" w:bottom="1134" w:left="1701" w:header="709" w:footer="709" w:gutter="0"/>
          <w:cols w:space="708"/>
          <w:docGrid w:linePitch="360"/>
        </w:sectPr>
      </w:pPr>
    </w:p>
    <w:p w:rsidR="002E3340" w:rsidRPr="00CC16B7" w:rsidRDefault="002E3340" w:rsidP="00CC16B7">
      <w:pPr>
        <w:tabs>
          <w:tab w:val="left" w:pos="2355"/>
        </w:tabs>
        <w:rPr>
          <w:rFonts w:ascii="Times New Roman" w:hAnsi="Times New Roman" w:cs="Times New Roman"/>
          <w:sz w:val="24"/>
          <w:szCs w:val="24"/>
        </w:rPr>
        <w:sectPr w:rsidR="002E3340" w:rsidRPr="00CC16B7" w:rsidSect="002E3340">
          <w:pgSz w:w="16838" w:h="11906" w:orient="landscape"/>
          <w:pgMar w:top="1701" w:right="1701" w:bottom="1134" w:left="1134" w:header="708" w:footer="708" w:gutter="0"/>
          <w:cols w:space="708"/>
          <w:docGrid w:linePitch="360"/>
        </w:sectPr>
      </w:pPr>
    </w:p>
    <w:bookmarkEnd w:id="1"/>
    <w:p w:rsidR="00DF6F31" w:rsidRPr="00147A00" w:rsidRDefault="00DF6F31" w:rsidP="00991507">
      <w:pPr>
        <w:ind w:right="-2"/>
        <w:jc w:val="both"/>
        <w:rPr>
          <w:rFonts w:ascii="Times New Roman" w:hAnsi="Times New Roman" w:cs="Times New Roman"/>
          <w:sz w:val="24"/>
          <w:szCs w:val="24"/>
        </w:rPr>
      </w:pPr>
    </w:p>
    <w:sectPr w:rsidR="00DF6F31" w:rsidRPr="00147A00" w:rsidSect="00B13DF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F74" w:rsidRDefault="00E64F74" w:rsidP="004E003B">
      <w:pPr>
        <w:spacing w:after="0" w:line="240" w:lineRule="auto"/>
      </w:pPr>
      <w:r>
        <w:separator/>
      </w:r>
    </w:p>
  </w:endnote>
  <w:endnote w:type="continuationSeparator" w:id="0">
    <w:p w:rsidR="00E64F74" w:rsidRDefault="00E64F74" w:rsidP="004E0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969483"/>
      <w:docPartObj>
        <w:docPartGallery w:val="Page Numbers (Bottom of Page)"/>
        <w:docPartUnique/>
      </w:docPartObj>
    </w:sdtPr>
    <w:sdtEndPr>
      <w:rPr>
        <w:noProof/>
      </w:rPr>
    </w:sdtEndPr>
    <w:sdtContent>
      <w:p w:rsidR="00D327D9" w:rsidRDefault="00D327D9">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D327D9" w:rsidRDefault="00D327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F74" w:rsidRDefault="00E64F74" w:rsidP="004E003B">
      <w:pPr>
        <w:spacing w:after="0" w:line="240" w:lineRule="auto"/>
      </w:pPr>
      <w:r>
        <w:separator/>
      </w:r>
    </w:p>
  </w:footnote>
  <w:footnote w:type="continuationSeparator" w:id="0">
    <w:p w:rsidR="00E64F74" w:rsidRDefault="00E64F74" w:rsidP="004E00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7D9" w:rsidRDefault="00D327D9" w:rsidP="00DB426F">
    <w:pPr>
      <w:pStyle w:val="Header"/>
      <w:jc w:val="center"/>
    </w:pPr>
    <w:r>
      <w:rPr>
        <w:rFonts w:ascii="Times New Roman" w:hAnsi="Times New Roman" w:cs="Times New Roman"/>
        <w:noProof/>
        <w:sz w:val="24"/>
        <w:szCs w:val="24"/>
      </w:rPr>
      <w:drawing>
        <wp:inline distT="0" distB="0" distL="0" distR="0" wp14:anchorId="063ED921" wp14:editId="341C8328">
          <wp:extent cx="4152900" cy="699570"/>
          <wp:effectExtent l="0" t="0" r="0" b="5715"/>
          <wp:docPr id="1"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B202D"/>
    <w:multiLevelType w:val="hybridMultilevel"/>
    <w:tmpl w:val="2C8A342E"/>
    <w:lvl w:ilvl="0" w:tplc="097677B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5C1460"/>
    <w:multiLevelType w:val="multilevel"/>
    <w:tmpl w:val="281037C4"/>
    <w:lvl w:ilvl="0">
      <w:start w:val="1"/>
      <w:numFmt w:val="decimal"/>
      <w:lvlText w:val="%1."/>
      <w:lvlJc w:val="left"/>
      <w:pPr>
        <w:ind w:left="720" w:hanging="360"/>
      </w:p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6D74602"/>
    <w:multiLevelType w:val="hybridMultilevel"/>
    <w:tmpl w:val="71B0C8FA"/>
    <w:lvl w:ilvl="0" w:tplc="39C6B182">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03C2815"/>
    <w:multiLevelType w:val="hybridMultilevel"/>
    <w:tmpl w:val="18C2498C"/>
    <w:lvl w:ilvl="0" w:tplc="A1ACB1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860EC3"/>
    <w:multiLevelType w:val="hybridMultilevel"/>
    <w:tmpl w:val="14D8D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6C"/>
    <w:rsid w:val="000100D5"/>
    <w:rsid w:val="00010DE5"/>
    <w:rsid w:val="000151F8"/>
    <w:rsid w:val="00033659"/>
    <w:rsid w:val="000476E7"/>
    <w:rsid w:val="00062964"/>
    <w:rsid w:val="000707B4"/>
    <w:rsid w:val="00070D76"/>
    <w:rsid w:val="000757D8"/>
    <w:rsid w:val="00082B0A"/>
    <w:rsid w:val="00087A7E"/>
    <w:rsid w:val="00091934"/>
    <w:rsid w:val="000A1E1E"/>
    <w:rsid w:val="000A3654"/>
    <w:rsid w:val="000B757B"/>
    <w:rsid w:val="000C0C15"/>
    <w:rsid w:val="000C525A"/>
    <w:rsid w:val="000D0BDE"/>
    <w:rsid w:val="000D584E"/>
    <w:rsid w:val="000E030E"/>
    <w:rsid w:val="000E20E8"/>
    <w:rsid w:val="000F476F"/>
    <w:rsid w:val="00111676"/>
    <w:rsid w:val="00123E34"/>
    <w:rsid w:val="00131F33"/>
    <w:rsid w:val="00147A00"/>
    <w:rsid w:val="00150538"/>
    <w:rsid w:val="00150A61"/>
    <w:rsid w:val="00150DA3"/>
    <w:rsid w:val="001519BE"/>
    <w:rsid w:val="0015301A"/>
    <w:rsid w:val="00153F51"/>
    <w:rsid w:val="001562B2"/>
    <w:rsid w:val="00156AE0"/>
    <w:rsid w:val="00156EFD"/>
    <w:rsid w:val="00165FD3"/>
    <w:rsid w:val="0016660A"/>
    <w:rsid w:val="001766D0"/>
    <w:rsid w:val="00180EB3"/>
    <w:rsid w:val="001A17AF"/>
    <w:rsid w:val="001B495B"/>
    <w:rsid w:val="001C0518"/>
    <w:rsid w:val="001C0F2F"/>
    <w:rsid w:val="001C23E9"/>
    <w:rsid w:val="001D62BD"/>
    <w:rsid w:val="001D70B8"/>
    <w:rsid w:val="001E0F73"/>
    <w:rsid w:val="001F0FBC"/>
    <w:rsid w:val="001F4F76"/>
    <w:rsid w:val="001F5713"/>
    <w:rsid w:val="001F7C45"/>
    <w:rsid w:val="00206413"/>
    <w:rsid w:val="00211CE0"/>
    <w:rsid w:val="00211E50"/>
    <w:rsid w:val="00213257"/>
    <w:rsid w:val="002134F2"/>
    <w:rsid w:val="00214211"/>
    <w:rsid w:val="00223918"/>
    <w:rsid w:val="00233A5A"/>
    <w:rsid w:val="00252AF1"/>
    <w:rsid w:val="00253E10"/>
    <w:rsid w:val="002561B5"/>
    <w:rsid w:val="0025789E"/>
    <w:rsid w:val="00282A56"/>
    <w:rsid w:val="0028657C"/>
    <w:rsid w:val="00293EE8"/>
    <w:rsid w:val="00294980"/>
    <w:rsid w:val="002A10F0"/>
    <w:rsid w:val="002A7A10"/>
    <w:rsid w:val="002C2D53"/>
    <w:rsid w:val="002C41C4"/>
    <w:rsid w:val="002C4CB1"/>
    <w:rsid w:val="002D2E58"/>
    <w:rsid w:val="002D3079"/>
    <w:rsid w:val="002E3340"/>
    <w:rsid w:val="002E7E6B"/>
    <w:rsid w:val="002F4F0C"/>
    <w:rsid w:val="003010ED"/>
    <w:rsid w:val="00311008"/>
    <w:rsid w:val="003212AC"/>
    <w:rsid w:val="00324FAE"/>
    <w:rsid w:val="00341C0D"/>
    <w:rsid w:val="00343F54"/>
    <w:rsid w:val="0034457B"/>
    <w:rsid w:val="00351852"/>
    <w:rsid w:val="00356C48"/>
    <w:rsid w:val="0036283D"/>
    <w:rsid w:val="00363576"/>
    <w:rsid w:val="003743CF"/>
    <w:rsid w:val="0038129C"/>
    <w:rsid w:val="00387A07"/>
    <w:rsid w:val="00393F4D"/>
    <w:rsid w:val="003958A0"/>
    <w:rsid w:val="003969A1"/>
    <w:rsid w:val="003B392F"/>
    <w:rsid w:val="003B6D4B"/>
    <w:rsid w:val="003C255E"/>
    <w:rsid w:val="003C41FA"/>
    <w:rsid w:val="003D3FF2"/>
    <w:rsid w:val="003D6524"/>
    <w:rsid w:val="003E0405"/>
    <w:rsid w:val="003F13FC"/>
    <w:rsid w:val="003F3101"/>
    <w:rsid w:val="003F6FC7"/>
    <w:rsid w:val="00401065"/>
    <w:rsid w:val="0040194F"/>
    <w:rsid w:val="004042B5"/>
    <w:rsid w:val="00404998"/>
    <w:rsid w:val="004157C0"/>
    <w:rsid w:val="0041684E"/>
    <w:rsid w:val="00425061"/>
    <w:rsid w:val="00427D30"/>
    <w:rsid w:val="004315C7"/>
    <w:rsid w:val="004474C8"/>
    <w:rsid w:val="004479E6"/>
    <w:rsid w:val="00450E6D"/>
    <w:rsid w:val="00453B04"/>
    <w:rsid w:val="00471CE4"/>
    <w:rsid w:val="0049404A"/>
    <w:rsid w:val="004A3288"/>
    <w:rsid w:val="004A6416"/>
    <w:rsid w:val="004D424B"/>
    <w:rsid w:val="004E003B"/>
    <w:rsid w:val="004E21AD"/>
    <w:rsid w:val="004E4692"/>
    <w:rsid w:val="004E528A"/>
    <w:rsid w:val="004E6563"/>
    <w:rsid w:val="004F1467"/>
    <w:rsid w:val="004F2CA8"/>
    <w:rsid w:val="004F6FC8"/>
    <w:rsid w:val="00532840"/>
    <w:rsid w:val="0053713F"/>
    <w:rsid w:val="0055045E"/>
    <w:rsid w:val="00582655"/>
    <w:rsid w:val="00593C66"/>
    <w:rsid w:val="00596286"/>
    <w:rsid w:val="00596DF1"/>
    <w:rsid w:val="005A0E0F"/>
    <w:rsid w:val="005A6A01"/>
    <w:rsid w:val="005A7DAB"/>
    <w:rsid w:val="005B4962"/>
    <w:rsid w:val="005C2B20"/>
    <w:rsid w:val="005C2C5F"/>
    <w:rsid w:val="005D2661"/>
    <w:rsid w:val="005D5089"/>
    <w:rsid w:val="005E0C2B"/>
    <w:rsid w:val="005E0FF7"/>
    <w:rsid w:val="005E5648"/>
    <w:rsid w:val="005F1C8B"/>
    <w:rsid w:val="00600634"/>
    <w:rsid w:val="006022FA"/>
    <w:rsid w:val="00610CBA"/>
    <w:rsid w:val="006130AB"/>
    <w:rsid w:val="00613653"/>
    <w:rsid w:val="006146EF"/>
    <w:rsid w:val="0062283C"/>
    <w:rsid w:val="00626193"/>
    <w:rsid w:val="00632B1B"/>
    <w:rsid w:val="00633749"/>
    <w:rsid w:val="006451D3"/>
    <w:rsid w:val="00660FC7"/>
    <w:rsid w:val="00662BA9"/>
    <w:rsid w:val="006664ED"/>
    <w:rsid w:val="00684507"/>
    <w:rsid w:val="00694A70"/>
    <w:rsid w:val="006A2C6B"/>
    <w:rsid w:val="006B1062"/>
    <w:rsid w:val="006B20CC"/>
    <w:rsid w:val="006C43DC"/>
    <w:rsid w:val="006C7C41"/>
    <w:rsid w:val="006D2C2C"/>
    <w:rsid w:val="006E2F60"/>
    <w:rsid w:val="006E32F9"/>
    <w:rsid w:val="006F0025"/>
    <w:rsid w:val="006F1BB9"/>
    <w:rsid w:val="0071019D"/>
    <w:rsid w:val="00714EC0"/>
    <w:rsid w:val="00734BA5"/>
    <w:rsid w:val="0075561B"/>
    <w:rsid w:val="00765594"/>
    <w:rsid w:val="00774D5A"/>
    <w:rsid w:val="00784663"/>
    <w:rsid w:val="00786D76"/>
    <w:rsid w:val="007935CB"/>
    <w:rsid w:val="00797DF5"/>
    <w:rsid w:val="007B19C4"/>
    <w:rsid w:val="007B22E6"/>
    <w:rsid w:val="007B2BFD"/>
    <w:rsid w:val="007C007F"/>
    <w:rsid w:val="007C152A"/>
    <w:rsid w:val="007D2B5F"/>
    <w:rsid w:val="007D3842"/>
    <w:rsid w:val="007F2E2B"/>
    <w:rsid w:val="007F466C"/>
    <w:rsid w:val="00810E58"/>
    <w:rsid w:val="00821E57"/>
    <w:rsid w:val="00824975"/>
    <w:rsid w:val="00826165"/>
    <w:rsid w:val="00827163"/>
    <w:rsid w:val="0083479E"/>
    <w:rsid w:val="00842579"/>
    <w:rsid w:val="00844977"/>
    <w:rsid w:val="0084552C"/>
    <w:rsid w:val="008540D7"/>
    <w:rsid w:val="00870A2F"/>
    <w:rsid w:val="0087134D"/>
    <w:rsid w:val="00891B74"/>
    <w:rsid w:val="00895B30"/>
    <w:rsid w:val="0089768B"/>
    <w:rsid w:val="008A0D6A"/>
    <w:rsid w:val="008A23B7"/>
    <w:rsid w:val="008A6C55"/>
    <w:rsid w:val="008B4037"/>
    <w:rsid w:val="008B618D"/>
    <w:rsid w:val="008D1365"/>
    <w:rsid w:val="008D48C5"/>
    <w:rsid w:val="008E03AB"/>
    <w:rsid w:val="008E34FF"/>
    <w:rsid w:val="008E42BB"/>
    <w:rsid w:val="008E4CB3"/>
    <w:rsid w:val="008E4F36"/>
    <w:rsid w:val="00906209"/>
    <w:rsid w:val="00910F5A"/>
    <w:rsid w:val="00912594"/>
    <w:rsid w:val="00917B59"/>
    <w:rsid w:val="00926E05"/>
    <w:rsid w:val="00934BB7"/>
    <w:rsid w:val="00941A3D"/>
    <w:rsid w:val="00947345"/>
    <w:rsid w:val="00947A80"/>
    <w:rsid w:val="009519D7"/>
    <w:rsid w:val="00957DAE"/>
    <w:rsid w:val="00963724"/>
    <w:rsid w:val="00981CB4"/>
    <w:rsid w:val="00991507"/>
    <w:rsid w:val="00996062"/>
    <w:rsid w:val="009A569E"/>
    <w:rsid w:val="009B6A5F"/>
    <w:rsid w:val="009C0138"/>
    <w:rsid w:val="009C2E0B"/>
    <w:rsid w:val="009C491C"/>
    <w:rsid w:val="009E0971"/>
    <w:rsid w:val="009E0EB3"/>
    <w:rsid w:val="009E40B8"/>
    <w:rsid w:val="00A02ED6"/>
    <w:rsid w:val="00A16DF6"/>
    <w:rsid w:val="00A17FE7"/>
    <w:rsid w:val="00A201D0"/>
    <w:rsid w:val="00A22EAC"/>
    <w:rsid w:val="00A26B33"/>
    <w:rsid w:val="00A32527"/>
    <w:rsid w:val="00A35093"/>
    <w:rsid w:val="00A35B88"/>
    <w:rsid w:val="00A4071C"/>
    <w:rsid w:val="00A42F01"/>
    <w:rsid w:val="00A45350"/>
    <w:rsid w:val="00A458AE"/>
    <w:rsid w:val="00A5642A"/>
    <w:rsid w:val="00A657FB"/>
    <w:rsid w:val="00A74CDA"/>
    <w:rsid w:val="00A81FD8"/>
    <w:rsid w:val="00A86F16"/>
    <w:rsid w:val="00A87819"/>
    <w:rsid w:val="00A925BB"/>
    <w:rsid w:val="00A92B90"/>
    <w:rsid w:val="00AA4FE9"/>
    <w:rsid w:val="00AA7AA5"/>
    <w:rsid w:val="00AB5BC1"/>
    <w:rsid w:val="00AC0077"/>
    <w:rsid w:val="00AC4DE7"/>
    <w:rsid w:val="00AD4BE8"/>
    <w:rsid w:val="00AD5D95"/>
    <w:rsid w:val="00AD6744"/>
    <w:rsid w:val="00B00244"/>
    <w:rsid w:val="00B13DFC"/>
    <w:rsid w:val="00B36DDA"/>
    <w:rsid w:val="00B37C39"/>
    <w:rsid w:val="00B402A8"/>
    <w:rsid w:val="00B407C5"/>
    <w:rsid w:val="00B44358"/>
    <w:rsid w:val="00B53D71"/>
    <w:rsid w:val="00B56737"/>
    <w:rsid w:val="00B66346"/>
    <w:rsid w:val="00B7010F"/>
    <w:rsid w:val="00B81E16"/>
    <w:rsid w:val="00B83B74"/>
    <w:rsid w:val="00B84AF7"/>
    <w:rsid w:val="00B84B2E"/>
    <w:rsid w:val="00B91C3E"/>
    <w:rsid w:val="00B97CA2"/>
    <w:rsid w:val="00BA5549"/>
    <w:rsid w:val="00BB12D3"/>
    <w:rsid w:val="00BC03E8"/>
    <w:rsid w:val="00BC13B4"/>
    <w:rsid w:val="00BC2867"/>
    <w:rsid w:val="00BC29CE"/>
    <w:rsid w:val="00BC3014"/>
    <w:rsid w:val="00BC4D7F"/>
    <w:rsid w:val="00BD34AD"/>
    <w:rsid w:val="00BF042F"/>
    <w:rsid w:val="00BF0E70"/>
    <w:rsid w:val="00BF137B"/>
    <w:rsid w:val="00BF47FF"/>
    <w:rsid w:val="00BF5EB0"/>
    <w:rsid w:val="00C04689"/>
    <w:rsid w:val="00C061D0"/>
    <w:rsid w:val="00C16B43"/>
    <w:rsid w:val="00C202C5"/>
    <w:rsid w:val="00C276BA"/>
    <w:rsid w:val="00C30AB8"/>
    <w:rsid w:val="00C322B3"/>
    <w:rsid w:val="00C5116E"/>
    <w:rsid w:val="00C62AF3"/>
    <w:rsid w:val="00C63E9B"/>
    <w:rsid w:val="00C648A8"/>
    <w:rsid w:val="00C65F25"/>
    <w:rsid w:val="00C66034"/>
    <w:rsid w:val="00C67F56"/>
    <w:rsid w:val="00C702C0"/>
    <w:rsid w:val="00C733C7"/>
    <w:rsid w:val="00C83D85"/>
    <w:rsid w:val="00C95B4B"/>
    <w:rsid w:val="00CA180C"/>
    <w:rsid w:val="00CA23F4"/>
    <w:rsid w:val="00CA3E39"/>
    <w:rsid w:val="00CA6F2E"/>
    <w:rsid w:val="00CB4CC1"/>
    <w:rsid w:val="00CC0702"/>
    <w:rsid w:val="00CC16B7"/>
    <w:rsid w:val="00CC1CA6"/>
    <w:rsid w:val="00CD1B74"/>
    <w:rsid w:val="00CD3A27"/>
    <w:rsid w:val="00CD4CEC"/>
    <w:rsid w:val="00CD4DFF"/>
    <w:rsid w:val="00CE07FC"/>
    <w:rsid w:val="00CE3DC2"/>
    <w:rsid w:val="00CE6A43"/>
    <w:rsid w:val="00CF15F1"/>
    <w:rsid w:val="00CF1DA6"/>
    <w:rsid w:val="00D01360"/>
    <w:rsid w:val="00D05D46"/>
    <w:rsid w:val="00D06B39"/>
    <w:rsid w:val="00D06B88"/>
    <w:rsid w:val="00D14BAA"/>
    <w:rsid w:val="00D21CCB"/>
    <w:rsid w:val="00D301E9"/>
    <w:rsid w:val="00D327D9"/>
    <w:rsid w:val="00D3655C"/>
    <w:rsid w:val="00D45887"/>
    <w:rsid w:val="00D65883"/>
    <w:rsid w:val="00D800BF"/>
    <w:rsid w:val="00DA109D"/>
    <w:rsid w:val="00DA3C9F"/>
    <w:rsid w:val="00DA7344"/>
    <w:rsid w:val="00DB1011"/>
    <w:rsid w:val="00DB426F"/>
    <w:rsid w:val="00DC0F92"/>
    <w:rsid w:val="00DC3873"/>
    <w:rsid w:val="00DC4B7A"/>
    <w:rsid w:val="00DD2C60"/>
    <w:rsid w:val="00DE71BF"/>
    <w:rsid w:val="00DF1CD7"/>
    <w:rsid w:val="00DF2244"/>
    <w:rsid w:val="00DF4C9A"/>
    <w:rsid w:val="00DF6F31"/>
    <w:rsid w:val="00E00CF7"/>
    <w:rsid w:val="00E01EBB"/>
    <w:rsid w:val="00E16167"/>
    <w:rsid w:val="00E325CF"/>
    <w:rsid w:val="00E40449"/>
    <w:rsid w:val="00E41984"/>
    <w:rsid w:val="00E43CCE"/>
    <w:rsid w:val="00E471F2"/>
    <w:rsid w:val="00E570CD"/>
    <w:rsid w:val="00E62EDF"/>
    <w:rsid w:val="00E64F74"/>
    <w:rsid w:val="00E67E05"/>
    <w:rsid w:val="00E734CE"/>
    <w:rsid w:val="00E77CF1"/>
    <w:rsid w:val="00E90A9D"/>
    <w:rsid w:val="00E92E17"/>
    <w:rsid w:val="00E9522E"/>
    <w:rsid w:val="00EA1B7A"/>
    <w:rsid w:val="00EA3B5E"/>
    <w:rsid w:val="00EA40D3"/>
    <w:rsid w:val="00EA4385"/>
    <w:rsid w:val="00EA6EE5"/>
    <w:rsid w:val="00EA7958"/>
    <w:rsid w:val="00EB608F"/>
    <w:rsid w:val="00EB79F5"/>
    <w:rsid w:val="00EC6754"/>
    <w:rsid w:val="00EE0250"/>
    <w:rsid w:val="00EE07C7"/>
    <w:rsid w:val="00EE1AFE"/>
    <w:rsid w:val="00EE4588"/>
    <w:rsid w:val="00EE7862"/>
    <w:rsid w:val="00EF043B"/>
    <w:rsid w:val="00EF1CF7"/>
    <w:rsid w:val="00EF4958"/>
    <w:rsid w:val="00F07DB5"/>
    <w:rsid w:val="00F220AD"/>
    <w:rsid w:val="00F41B95"/>
    <w:rsid w:val="00F43B8C"/>
    <w:rsid w:val="00F4507A"/>
    <w:rsid w:val="00F55617"/>
    <w:rsid w:val="00F55EF0"/>
    <w:rsid w:val="00F573AD"/>
    <w:rsid w:val="00F63547"/>
    <w:rsid w:val="00F76140"/>
    <w:rsid w:val="00F7794A"/>
    <w:rsid w:val="00F779A1"/>
    <w:rsid w:val="00F87CDB"/>
    <w:rsid w:val="00F90690"/>
    <w:rsid w:val="00F9793B"/>
    <w:rsid w:val="00FA3F1A"/>
    <w:rsid w:val="00FA4F6E"/>
    <w:rsid w:val="00FB0A79"/>
    <w:rsid w:val="00FB16F1"/>
    <w:rsid w:val="00FC08E7"/>
    <w:rsid w:val="00FC53E0"/>
    <w:rsid w:val="00FC7A60"/>
    <w:rsid w:val="00FD0BE2"/>
    <w:rsid w:val="00FD43F0"/>
    <w:rsid w:val="00FD4535"/>
    <w:rsid w:val="00FD776D"/>
    <w:rsid w:val="00FE5AE7"/>
    <w:rsid w:val="00FF5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025AAC3"/>
  <w15:chartTrackingRefBased/>
  <w15:docId w15:val="{6256DD33-15E5-425F-A218-31BD7DF9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71BF"/>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28A"/>
    <w:pPr>
      <w:ind w:left="720"/>
      <w:contextualSpacing/>
    </w:pPr>
  </w:style>
  <w:style w:type="paragraph" w:styleId="BodyTextIndent2">
    <w:name w:val="Body Text Indent 2"/>
    <w:basedOn w:val="Normal"/>
    <w:link w:val="BodyTextIndent2Char"/>
    <w:uiPriority w:val="99"/>
    <w:unhideWhenUsed/>
    <w:rsid w:val="001F0FBC"/>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2Char">
    <w:name w:val="Body Text Indent 2 Char"/>
    <w:basedOn w:val="DefaultParagraphFont"/>
    <w:link w:val="BodyTextIndent2"/>
    <w:uiPriority w:val="99"/>
    <w:rsid w:val="001F0FBC"/>
    <w:rPr>
      <w:rFonts w:ascii="Times New Roman" w:eastAsia="Times New Roman" w:hAnsi="Times New Roman" w:cs="Times New Roman"/>
      <w:sz w:val="28"/>
      <w:szCs w:val="24"/>
      <w:lang w:val="x-none" w:eastAsia="x-none"/>
    </w:rPr>
  </w:style>
  <w:style w:type="paragraph" w:styleId="BodyTextIndent">
    <w:name w:val="Body Text Indent"/>
    <w:basedOn w:val="Normal"/>
    <w:link w:val="BodyTextIndentChar"/>
    <w:uiPriority w:val="99"/>
    <w:unhideWhenUsed/>
    <w:rsid w:val="001F0FBC"/>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1F0FBC"/>
    <w:rPr>
      <w:rFonts w:ascii="Times New Roman" w:eastAsia="Times New Roman" w:hAnsi="Times New Roman" w:cs="Times New Roman"/>
      <w:sz w:val="24"/>
      <w:szCs w:val="24"/>
      <w:lang w:val="lv-LV"/>
    </w:rPr>
  </w:style>
  <w:style w:type="character" w:styleId="Hyperlink">
    <w:name w:val="Hyperlink"/>
    <w:basedOn w:val="DefaultParagraphFont"/>
    <w:uiPriority w:val="99"/>
    <w:unhideWhenUsed/>
    <w:rsid w:val="00B81E16"/>
    <w:rPr>
      <w:color w:val="0563C1"/>
      <w:u w:val="single"/>
    </w:rPr>
  </w:style>
  <w:style w:type="character" w:customStyle="1" w:styleId="UnresolvedMention1">
    <w:name w:val="Unresolved Mention1"/>
    <w:basedOn w:val="DefaultParagraphFont"/>
    <w:uiPriority w:val="99"/>
    <w:semiHidden/>
    <w:unhideWhenUsed/>
    <w:rsid w:val="00213257"/>
    <w:rPr>
      <w:color w:val="808080"/>
      <w:shd w:val="clear" w:color="auto" w:fill="E6E6E6"/>
    </w:rPr>
  </w:style>
  <w:style w:type="paragraph" w:styleId="BalloonText">
    <w:name w:val="Balloon Text"/>
    <w:basedOn w:val="Normal"/>
    <w:link w:val="BalloonTextChar"/>
    <w:uiPriority w:val="99"/>
    <w:semiHidden/>
    <w:unhideWhenUsed/>
    <w:rsid w:val="00BC0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3E8"/>
    <w:rPr>
      <w:rFonts w:ascii="Segoe UI" w:hAnsi="Segoe UI" w:cs="Segoe UI"/>
      <w:sz w:val="18"/>
      <w:szCs w:val="18"/>
      <w:lang w:val="lv-LV"/>
    </w:rPr>
  </w:style>
  <w:style w:type="character" w:styleId="CommentReference">
    <w:name w:val="annotation reference"/>
    <w:basedOn w:val="DefaultParagraphFont"/>
    <w:uiPriority w:val="99"/>
    <w:semiHidden/>
    <w:unhideWhenUsed/>
    <w:rsid w:val="00A22EAC"/>
    <w:rPr>
      <w:sz w:val="16"/>
      <w:szCs w:val="16"/>
    </w:rPr>
  </w:style>
  <w:style w:type="paragraph" w:styleId="CommentText">
    <w:name w:val="annotation text"/>
    <w:basedOn w:val="Normal"/>
    <w:link w:val="CommentTextChar"/>
    <w:uiPriority w:val="99"/>
    <w:semiHidden/>
    <w:unhideWhenUsed/>
    <w:rsid w:val="00A22EAC"/>
    <w:pPr>
      <w:spacing w:line="240" w:lineRule="auto"/>
    </w:pPr>
    <w:rPr>
      <w:sz w:val="20"/>
      <w:szCs w:val="20"/>
    </w:rPr>
  </w:style>
  <w:style w:type="character" w:customStyle="1" w:styleId="CommentTextChar">
    <w:name w:val="Comment Text Char"/>
    <w:basedOn w:val="DefaultParagraphFont"/>
    <w:link w:val="CommentText"/>
    <w:uiPriority w:val="99"/>
    <w:semiHidden/>
    <w:rsid w:val="00A22EAC"/>
    <w:rPr>
      <w:sz w:val="20"/>
      <w:szCs w:val="20"/>
      <w:lang w:val="lv-LV"/>
    </w:rPr>
  </w:style>
  <w:style w:type="paragraph" w:styleId="CommentSubject">
    <w:name w:val="annotation subject"/>
    <w:basedOn w:val="CommentText"/>
    <w:next w:val="CommentText"/>
    <w:link w:val="CommentSubjectChar"/>
    <w:uiPriority w:val="99"/>
    <w:semiHidden/>
    <w:unhideWhenUsed/>
    <w:rsid w:val="00A22EAC"/>
    <w:rPr>
      <w:b/>
      <w:bCs/>
    </w:rPr>
  </w:style>
  <w:style w:type="character" w:customStyle="1" w:styleId="CommentSubjectChar">
    <w:name w:val="Comment Subject Char"/>
    <w:basedOn w:val="CommentTextChar"/>
    <w:link w:val="CommentSubject"/>
    <w:uiPriority w:val="99"/>
    <w:semiHidden/>
    <w:rsid w:val="00A22EAC"/>
    <w:rPr>
      <w:b/>
      <w:bCs/>
      <w:sz w:val="20"/>
      <w:szCs w:val="20"/>
      <w:lang w:val="lv-LV"/>
    </w:rPr>
  </w:style>
  <w:style w:type="paragraph" w:styleId="Header">
    <w:name w:val="header"/>
    <w:basedOn w:val="Normal"/>
    <w:link w:val="HeaderChar"/>
    <w:uiPriority w:val="99"/>
    <w:unhideWhenUsed/>
    <w:rsid w:val="004E0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003B"/>
    <w:rPr>
      <w:lang w:val="lv-LV"/>
    </w:rPr>
  </w:style>
  <w:style w:type="paragraph" w:styleId="Footer">
    <w:name w:val="footer"/>
    <w:basedOn w:val="Normal"/>
    <w:link w:val="FooterChar"/>
    <w:uiPriority w:val="99"/>
    <w:unhideWhenUsed/>
    <w:rsid w:val="004E0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003B"/>
    <w:rPr>
      <w:lang w:val="lv-LV"/>
    </w:rPr>
  </w:style>
  <w:style w:type="paragraph" w:styleId="FootnoteText">
    <w:name w:val="footnote text"/>
    <w:basedOn w:val="Normal"/>
    <w:link w:val="FootnoteTextChar"/>
    <w:uiPriority w:val="99"/>
    <w:semiHidden/>
    <w:unhideWhenUsed/>
    <w:rsid w:val="000E03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030E"/>
    <w:rPr>
      <w:sz w:val="20"/>
      <w:szCs w:val="20"/>
      <w:lang w:val="lv-LV"/>
    </w:rPr>
  </w:style>
  <w:style w:type="character" w:styleId="FootnoteReference">
    <w:name w:val="footnote reference"/>
    <w:basedOn w:val="DefaultParagraphFont"/>
    <w:uiPriority w:val="99"/>
    <w:semiHidden/>
    <w:unhideWhenUsed/>
    <w:rsid w:val="000E0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6E1A8-A21F-4BE9-A9FD-BD7388F57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7840</Words>
  <Characters>4470</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13</cp:revision>
  <cp:lastPrinted>2018-05-21T05:46:00Z</cp:lastPrinted>
  <dcterms:created xsi:type="dcterms:W3CDTF">2018-04-26T08:06:00Z</dcterms:created>
  <dcterms:modified xsi:type="dcterms:W3CDTF">2018-05-21T05:50:00Z</dcterms:modified>
</cp:coreProperties>
</file>