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615792" w:rsidP="001127A1">
      <w:pPr>
        <w:ind w:right="-766"/>
        <w:jc w:val="center"/>
        <w:rPr>
          <w:bCs/>
          <w:lang w:val="lv-LV"/>
        </w:rPr>
      </w:pPr>
      <w:r>
        <w:rPr>
          <w:bCs/>
          <w:lang w:val="lv-LV"/>
        </w:rPr>
        <w:t>iepirkum</w:t>
      </w:r>
      <w:r w:rsidR="00FB233F">
        <w:rPr>
          <w:bCs/>
          <w:lang w:val="lv-LV"/>
        </w:rPr>
        <w:t>a</w:t>
      </w:r>
    </w:p>
    <w:p w:rsidR="00B67C54" w:rsidRPr="00523CE9" w:rsidRDefault="00AE1D73" w:rsidP="001127A1">
      <w:pPr>
        <w:ind w:right="-766"/>
        <w:jc w:val="center"/>
        <w:rPr>
          <w:b/>
          <w:lang w:val="lv-LV"/>
        </w:rPr>
      </w:pPr>
      <w:r>
        <w:rPr>
          <w:b/>
          <w:bCs/>
          <w:lang w:val="lv-LV"/>
        </w:rPr>
        <w:t>"</w:t>
      </w:r>
      <w:r w:rsidR="00902F26" w:rsidRPr="00902F26">
        <w:rPr>
          <w:b/>
          <w:lang w:val="lv-LV"/>
        </w:rPr>
        <w:t>Sadzīves notekūdeņu bioloģiskās attīrīšanas iekārtu un ārējās kanalizācijas sistēmas tehniskā apkope Olaines cietumā</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902F26">
        <w:rPr>
          <w:bCs/>
          <w:lang w:val="lv-LV"/>
        </w:rPr>
        <w:t>37</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902F26">
        <w:rPr>
          <w:lang w:val="lv-LV"/>
        </w:rPr>
        <w:t>11. maijā</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902F26">
        <w:rPr>
          <w:bCs/>
          <w:lang w:val="lv-LV"/>
        </w:rPr>
        <w:t>37</w:t>
      </w:r>
    </w:p>
    <w:p w:rsidR="00615792" w:rsidRDefault="00B67C54" w:rsidP="00615792">
      <w:pPr>
        <w:ind w:right="-1"/>
        <w:jc w:val="both"/>
        <w:rPr>
          <w:lang w:val="lv-LV"/>
        </w:rPr>
      </w:pPr>
      <w:r>
        <w:rPr>
          <w:b/>
          <w:lang w:val="lv-LV"/>
        </w:rPr>
        <w:t>Iepirkuma procedūras veids</w:t>
      </w:r>
      <w:r>
        <w:rPr>
          <w:lang w:val="lv-LV"/>
        </w:rPr>
        <w:t xml:space="preserve">: </w:t>
      </w:r>
      <w:r w:rsidR="00615792">
        <w:rPr>
          <w:lang w:val="lv-LV"/>
        </w:rPr>
        <w:t xml:space="preserve">iepirkums </w:t>
      </w:r>
      <w:r w:rsidR="00615792" w:rsidRPr="002B3E2C">
        <w:rPr>
          <w:lang w:val="lv-LV"/>
        </w:rPr>
        <w:t xml:space="preserve">Publisko iepirkumu likuma </w:t>
      </w:r>
      <w:r w:rsidR="00615792" w:rsidRPr="00BF464C">
        <w:rPr>
          <w:rFonts w:eastAsia="Calibri"/>
          <w:noProof/>
          <w:lang w:val="lv-LV"/>
        </w:rPr>
        <w:t>(turpmāk – Likums)</w:t>
      </w:r>
      <w:r w:rsidR="00615792">
        <w:rPr>
          <w:lang w:val="lv-LV"/>
        </w:rPr>
        <w:t xml:space="preserve"> 9. panta kārtībā.</w:t>
      </w:r>
    </w:p>
    <w:p w:rsidR="00FB233F" w:rsidRPr="00615792" w:rsidRDefault="00B67C54" w:rsidP="00615792">
      <w:pPr>
        <w:ind w:right="-283"/>
        <w:jc w:val="both"/>
        <w:rPr>
          <w:lang w:val="lv-LV"/>
        </w:rPr>
      </w:pPr>
      <w:r w:rsidRPr="00615792">
        <w:rPr>
          <w:b/>
          <w:lang w:val="lv-LV"/>
        </w:rPr>
        <w:t>Iepirkuma priekšmets un īss tā apraksts:</w:t>
      </w:r>
      <w:r w:rsidRPr="00615792">
        <w:rPr>
          <w:lang w:val="lv-LV"/>
        </w:rPr>
        <w:t xml:space="preserve"> </w:t>
      </w:r>
      <w:r w:rsidR="00902F26" w:rsidRPr="009E308E">
        <w:rPr>
          <w:color w:val="000000"/>
          <w:lang w:val="de-DE"/>
        </w:rPr>
        <w:t>Sadzīves notekūdeņu bioloģiskās attīrīšanas iekārtu un ārējās kanalizācijas sistēmas tehniskā apkope Olaines cietumā</w:t>
      </w:r>
      <w:r w:rsidR="00FB233F" w:rsidRPr="00615792">
        <w:rPr>
          <w:lang w:val="lv-LV"/>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902F26">
        <w:rPr>
          <w:lang w:val="lv-LV"/>
        </w:rPr>
        <w:t>16</w:t>
      </w:r>
      <w:r>
        <w:rPr>
          <w:lang w:val="lv-LV"/>
        </w:rPr>
        <w:t>.</w:t>
      </w:r>
      <w:r w:rsidR="00902F26">
        <w:rPr>
          <w:lang w:val="lv-LV"/>
        </w:rPr>
        <w:t xml:space="preserve"> aprīl</w:t>
      </w:r>
      <w:r w:rsidR="00993913">
        <w:rPr>
          <w:lang w:val="lv-LV"/>
        </w:rPr>
        <w:t>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ind w:right="-283"/>
        <w:jc w:val="both"/>
        <w:rPr>
          <w:rFonts w:eastAsiaTheme="minorHAnsi" w:cstheme="minorBidi"/>
          <w:b/>
          <w:noProof/>
          <w:lang w:val="lv-LV"/>
        </w:rPr>
      </w:pPr>
      <w:r w:rsidRPr="009403E1">
        <w:rPr>
          <w:b/>
          <w:lang w:val="lv-LV"/>
        </w:rPr>
        <w:t>Iepirkumu komisijas priekšsēdētāja vietniece:</w:t>
      </w:r>
      <w:r w:rsidRPr="009403E1">
        <w:rPr>
          <w:lang w:val="lv-LV"/>
        </w:rPr>
        <w:t xml:space="preserve">  Pārvaldes centrālā aparāta Grāmatvedības daļas informācijas uzskaites </w:t>
      </w:r>
      <w:r w:rsidR="00902F26">
        <w:rPr>
          <w:lang w:val="lv-LV"/>
        </w:rPr>
        <w:t>galvenā speciāliste kaptein</w:t>
      </w:r>
      <w:r w:rsidRPr="009403E1">
        <w:rPr>
          <w:lang w:val="lv-LV"/>
        </w:rPr>
        <w:t>e Jūlija Baranova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9403E1" w:rsidRPr="009403E1" w:rsidRDefault="009403E1" w:rsidP="009403E1">
      <w:pPr>
        <w:ind w:right="-766"/>
        <w:jc w:val="both"/>
        <w:rPr>
          <w:rFonts w:eastAsia="Calibri"/>
          <w:noProof/>
          <w:lang w:val="de-DE"/>
        </w:rPr>
      </w:pPr>
      <w:r w:rsidRPr="009403E1">
        <w:rPr>
          <w:rFonts w:eastAsia="Calibri"/>
          <w:noProof/>
          <w:lang w:val="de-DE"/>
        </w:rPr>
        <w:t xml:space="preserve">Pārvaldes centrālā aparāta Tiesvedības daļas galvenā juriste </w:t>
      </w:r>
      <w:r w:rsidR="00902F26">
        <w:rPr>
          <w:lang w:val="lv-LV"/>
        </w:rPr>
        <w:t>kaptein</w:t>
      </w:r>
      <w:r w:rsidR="00902F26" w:rsidRPr="009403E1">
        <w:rPr>
          <w:lang w:val="lv-LV"/>
        </w:rPr>
        <w:t>e</w:t>
      </w:r>
      <w:r w:rsidRPr="009403E1">
        <w:rPr>
          <w:rFonts w:eastAsia="Calibri"/>
          <w:noProof/>
          <w:lang w:val="de-DE"/>
        </w:rPr>
        <w:t xml:space="preserve"> Olga Sparāne</w:t>
      </w:r>
    </w:p>
    <w:p w:rsidR="009403E1" w:rsidRPr="009403E1" w:rsidRDefault="009403E1" w:rsidP="009403E1">
      <w:pPr>
        <w:ind w:right="-283"/>
        <w:jc w:val="both"/>
        <w:rPr>
          <w:rFonts w:eastAsia="Calibri"/>
          <w:noProof/>
          <w:lang w:val="de-DE"/>
        </w:rPr>
      </w:pPr>
      <w:r w:rsidRPr="009403E1">
        <w:rPr>
          <w:rFonts w:eastAsia="Calibri"/>
          <w:noProof/>
          <w:lang w:val="de-DE"/>
        </w:rPr>
        <w:t xml:space="preserve">Pārvaldes centrālā aparāta Projektu izstrādes daļas vecākā referente </w:t>
      </w:r>
      <w:r w:rsidR="00902F26">
        <w:rPr>
          <w:lang w:val="lv-LV"/>
        </w:rPr>
        <w:t>kaptein</w:t>
      </w:r>
      <w:r w:rsidR="00902F26" w:rsidRPr="009403E1">
        <w:rPr>
          <w:lang w:val="lv-LV"/>
        </w:rPr>
        <w:t>e</w:t>
      </w:r>
      <w:r w:rsidRPr="009403E1">
        <w:rPr>
          <w:rFonts w:eastAsia="Calibri"/>
          <w:noProof/>
          <w:lang w:val="de-DE"/>
        </w:rPr>
        <w:t xml:space="preserve"> Una Zvaigzne</w:t>
      </w:r>
    </w:p>
    <w:p w:rsidR="009403E1" w:rsidRPr="00902F26" w:rsidRDefault="009403E1" w:rsidP="00902F26">
      <w:pPr>
        <w:ind w:right="-766"/>
        <w:jc w:val="both"/>
        <w:rPr>
          <w:rFonts w:eastAsia="Calibri"/>
          <w:noProof/>
          <w:lang w:val="lv-LV"/>
        </w:rPr>
      </w:pPr>
      <w:r w:rsidRPr="009403E1">
        <w:rPr>
          <w:rFonts w:eastAsia="Calibri"/>
          <w:noProof/>
          <w:lang w:val="lv-LV"/>
        </w:rPr>
        <w:t>Pārvaldes centrālā aparāta Uzraudzības daļas galvenais in</w:t>
      </w:r>
      <w:r w:rsidR="00902F26">
        <w:rPr>
          <w:rFonts w:eastAsia="Calibri"/>
          <w:noProof/>
          <w:lang w:val="lv-LV"/>
        </w:rPr>
        <w:t>spektors majors Madars Vekmanis</w:t>
      </w:r>
      <w:r w:rsidRPr="009403E1">
        <w:rPr>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9403E1">
      <w:pPr>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9403E1">
        <w:rPr>
          <w:b/>
          <w:lang w:val="lv-LV"/>
        </w:rPr>
        <w:t>8</w:t>
      </w:r>
      <w:r>
        <w:rPr>
          <w:b/>
          <w:lang w:val="lv-LV"/>
        </w:rPr>
        <w:t>/</w:t>
      </w:r>
      <w:r w:rsidR="00902F26">
        <w:rPr>
          <w:b/>
          <w:lang w:val="lv-LV"/>
        </w:rPr>
        <w:t>37</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6974"/>
      </w:tblGrid>
      <w:tr w:rsidR="00902F26" w:rsidRPr="00902F26" w:rsidTr="009055CE">
        <w:trPr>
          <w:trHeight w:val="486"/>
        </w:trPr>
        <w:tc>
          <w:tcPr>
            <w:tcW w:w="2098" w:type="dxa"/>
            <w:vAlign w:val="center"/>
          </w:tcPr>
          <w:p w:rsidR="00902F26" w:rsidRPr="00902F26" w:rsidRDefault="00902F26" w:rsidP="009055CE">
            <w:pPr>
              <w:jc w:val="center"/>
              <w:rPr>
                <w:lang w:val="lv-LV"/>
              </w:rPr>
            </w:pPr>
            <w:r w:rsidRPr="00902F26">
              <w:rPr>
                <w:lang w:val="lv-LV"/>
              </w:rPr>
              <w:t>Nolikuma apakšpunkta Nr.</w:t>
            </w:r>
          </w:p>
        </w:tc>
        <w:tc>
          <w:tcPr>
            <w:tcW w:w="6974" w:type="dxa"/>
            <w:vAlign w:val="center"/>
          </w:tcPr>
          <w:p w:rsidR="00902F26" w:rsidRPr="00902F26" w:rsidRDefault="00902F26" w:rsidP="009055CE">
            <w:pPr>
              <w:jc w:val="center"/>
              <w:rPr>
                <w:lang w:val="lv-LV"/>
              </w:rPr>
            </w:pPr>
            <w:r w:rsidRPr="00902F26">
              <w:rPr>
                <w:lang w:val="lv-LV"/>
              </w:rPr>
              <w:t xml:space="preserve">Nolikuma prasības </w:t>
            </w:r>
          </w:p>
        </w:tc>
      </w:tr>
      <w:tr w:rsidR="00902F26" w:rsidRPr="00902F26" w:rsidTr="009055CE">
        <w:trPr>
          <w:trHeight w:val="217"/>
        </w:trPr>
        <w:tc>
          <w:tcPr>
            <w:tcW w:w="2098" w:type="dxa"/>
            <w:vAlign w:val="center"/>
          </w:tcPr>
          <w:p w:rsidR="00902F26" w:rsidRPr="00902F26" w:rsidRDefault="00902F26" w:rsidP="009055CE">
            <w:pPr>
              <w:jc w:val="center"/>
              <w:rPr>
                <w:lang w:val="lv-LV"/>
              </w:rPr>
            </w:pPr>
            <w:r w:rsidRPr="00902F26">
              <w:rPr>
                <w:lang w:val="lv-LV"/>
              </w:rPr>
              <w:t>4.1.1.</w:t>
            </w:r>
          </w:p>
        </w:tc>
        <w:tc>
          <w:tcPr>
            <w:tcW w:w="6974" w:type="dxa"/>
            <w:vAlign w:val="center"/>
          </w:tcPr>
          <w:p w:rsidR="00902F26" w:rsidRPr="00902F26" w:rsidRDefault="00902F26" w:rsidP="009055CE">
            <w:pPr>
              <w:jc w:val="both"/>
              <w:rPr>
                <w:lang w:val="lv-LV"/>
              </w:rPr>
            </w:pPr>
            <w:r w:rsidRPr="00902F26">
              <w:rPr>
                <w:b/>
                <w:bCs/>
                <w:lang w:val="lv-LV"/>
              </w:rPr>
              <w:t>apliecinājums</w:t>
            </w:r>
            <w:r w:rsidRPr="00902F26">
              <w:rPr>
                <w:bCs/>
                <w:lang w:val="lv-LV"/>
              </w:rPr>
              <w:t>,</w:t>
            </w:r>
            <w:r w:rsidRPr="00902F26">
              <w:rPr>
                <w:b/>
                <w:bCs/>
                <w:lang w:val="lv-LV"/>
              </w:rPr>
              <w:t xml:space="preserve"> </w:t>
            </w:r>
            <w:r w:rsidRPr="00902F26">
              <w:rPr>
                <w:bCs/>
                <w:lang w:val="lv-LV"/>
              </w:rPr>
              <w:t xml:space="preserve">ka </w:t>
            </w:r>
            <w:r w:rsidRPr="00902F26">
              <w:rPr>
                <w:lang w:val="lv-LV"/>
              </w:rPr>
              <w:t xml:space="preserve">pretendents ir reģistrēts, licencēts vai sertificēts atbilstoši attiecīgās valsts normatīvo aktu prasībām </w:t>
            </w:r>
            <w:r w:rsidRPr="00902F26">
              <w:rPr>
                <w:bCs/>
                <w:lang w:val="lv-LV"/>
              </w:rPr>
              <w:t xml:space="preserve">un tam ir tiesības veikt komercdarbību </w:t>
            </w:r>
            <w:r w:rsidRPr="00902F26">
              <w:rPr>
                <w:lang w:val="lv-LV"/>
              </w:rPr>
              <w:t>pakalpojuma sniegšanas jomā (atbilstoši Iepirkuma priekšmetam)</w:t>
            </w:r>
            <w:r w:rsidRPr="00902F26">
              <w:rPr>
                <w:color w:val="000000"/>
                <w:lang w:val="lv-LV" w:eastAsia="lv-LV"/>
              </w:rPr>
              <w:t>.</w:t>
            </w:r>
          </w:p>
        </w:tc>
      </w:tr>
      <w:tr w:rsidR="00902F26" w:rsidRPr="00902F26" w:rsidTr="009055CE">
        <w:trPr>
          <w:trHeight w:val="710"/>
        </w:trPr>
        <w:tc>
          <w:tcPr>
            <w:tcW w:w="2098" w:type="dxa"/>
            <w:vAlign w:val="center"/>
          </w:tcPr>
          <w:p w:rsidR="00902F26" w:rsidRPr="00902F26" w:rsidRDefault="00902F26" w:rsidP="009055CE">
            <w:pPr>
              <w:jc w:val="center"/>
              <w:rPr>
                <w:lang w:val="lv-LV"/>
              </w:rPr>
            </w:pPr>
            <w:r w:rsidRPr="00902F26">
              <w:rPr>
                <w:lang w:val="lv-LV"/>
              </w:rPr>
              <w:t>4.1.2.</w:t>
            </w:r>
          </w:p>
        </w:tc>
        <w:tc>
          <w:tcPr>
            <w:tcW w:w="6974" w:type="dxa"/>
            <w:vAlign w:val="center"/>
          </w:tcPr>
          <w:p w:rsidR="00902F26" w:rsidRPr="00902F26" w:rsidRDefault="00902F26" w:rsidP="009055CE">
            <w:pPr>
              <w:jc w:val="both"/>
              <w:rPr>
                <w:lang w:val="lv-LV"/>
              </w:rPr>
            </w:pPr>
            <w:r w:rsidRPr="00902F26">
              <w:rPr>
                <w:b/>
                <w:bCs/>
                <w:lang w:val="lv-LV"/>
              </w:rPr>
              <w:t>apliecinājums</w:t>
            </w:r>
            <w:r w:rsidRPr="00902F26">
              <w:rPr>
                <w:bCs/>
                <w:lang w:val="lv-LV"/>
              </w:rPr>
              <w:t>,</w:t>
            </w:r>
            <w:r w:rsidRPr="00902F26">
              <w:rPr>
                <w:lang w:val="lv-LV"/>
              </w:rPr>
              <w:t xml:space="preserve"> ka pretendents darbojas Nolikuma 1.3.1. apašpunktā norādītājā jomā (</w:t>
            </w:r>
            <w:r w:rsidRPr="00902F26">
              <w:rPr>
                <w:color w:val="000000"/>
                <w:lang w:val="lv-LV"/>
              </w:rPr>
              <w:t>sadzīves notekūdeņu bioloģiskās attīrīšanas iekārtu un ārējas kanalizācijas sistēmas tehniskā apkope)</w:t>
            </w:r>
            <w:r w:rsidRPr="00902F26">
              <w:rPr>
                <w:lang w:val="lv-LV"/>
              </w:rPr>
              <w:t xml:space="preserve"> un pretendentam ir pieredze vismaz 3 (trīs) Iepirkuma priekšmetam atbilstošu līgumu izpildē juridiskām personām, </w:t>
            </w:r>
            <w:r w:rsidRPr="00902F26">
              <w:rPr>
                <w:bCs/>
                <w:lang w:val="lv-LV"/>
              </w:rPr>
              <w:t>personām, kas nav juridiskas personas (piemēram, personālsabiedrībām)</w:t>
            </w:r>
            <w:r w:rsidRPr="00902F26">
              <w:rPr>
                <w:lang w:val="lv-LV"/>
              </w:rPr>
              <w:t xml:space="preserve"> un valsts pārvaldes iestādēm</w:t>
            </w:r>
            <w:r w:rsidRPr="00902F26">
              <w:rPr>
                <w:lang w:val="lv-LV" w:eastAsia="lv-LV"/>
              </w:rPr>
              <w:t>.</w:t>
            </w:r>
          </w:p>
        </w:tc>
      </w:tr>
      <w:tr w:rsidR="00902F26" w:rsidRPr="00902F26" w:rsidTr="009055CE">
        <w:trPr>
          <w:trHeight w:val="420"/>
        </w:trPr>
        <w:tc>
          <w:tcPr>
            <w:tcW w:w="2098" w:type="dxa"/>
            <w:vAlign w:val="center"/>
          </w:tcPr>
          <w:p w:rsidR="00902F26" w:rsidRPr="00902F26" w:rsidRDefault="00902F26" w:rsidP="009055CE">
            <w:pPr>
              <w:jc w:val="center"/>
              <w:rPr>
                <w:lang w:val="lv-LV"/>
              </w:rPr>
            </w:pPr>
            <w:r w:rsidRPr="00902F26">
              <w:rPr>
                <w:lang w:val="lv-LV"/>
              </w:rPr>
              <w:t>4.1.3.</w:t>
            </w:r>
          </w:p>
        </w:tc>
        <w:tc>
          <w:tcPr>
            <w:tcW w:w="6974" w:type="dxa"/>
            <w:vAlign w:val="center"/>
          </w:tcPr>
          <w:p w:rsidR="00902F26" w:rsidRPr="00902F26" w:rsidRDefault="00902F26" w:rsidP="009055CE">
            <w:pPr>
              <w:jc w:val="both"/>
              <w:rPr>
                <w:lang w:val="lv-LV"/>
              </w:rPr>
            </w:pPr>
            <w:r w:rsidRPr="00902F26">
              <w:rPr>
                <w:b/>
                <w:bCs/>
                <w:lang w:val="lv-LV"/>
              </w:rPr>
              <w:t xml:space="preserve">atsauksmes </w:t>
            </w:r>
            <w:r w:rsidRPr="00902F26">
              <w:rPr>
                <w:lang w:val="lv-LV"/>
              </w:rPr>
              <w:t>no Nolikuma 4.1.2. apakšpunktā minēto pakalpojumu saņēmējiem. Atsauksmēs jābūt norādei, vai līgumi tika izpildīti noteiktajos termiņos un kvalitatīvi.</w:t>
            </w:r>
          </w:p>
        </w:tc>
      </w:tr>
      <w:tr w:rsidR="00902F26" w:rsidRPr="00902F26" w:rsidTr="009055CE">
        <w:trPr>
          <w:trHeight w:val="420"/>
        </w:trPr>
        <w:tc>
          <w:tcPr>
            <w:tcW w:w="2098" w:type="dxa"/>
            <w:vAlign w:val="center"/>
          </w:tcPr>
          <w:p w:rsidR="00902F26" w:rsidRPr="00902F26" w:rsidRDefault="00902F26" w:rsidP="009055CE">
            <w:pPr>
              <w:jc w:val="center"/>
              <w:rPr>
                <w:lang w:val="lv-LV"/>
              </w:rPr>
            </w:pPr>
            <w:r w:rsidRPr="00902F26">
              <w:rPr>
                <w:lang w:val="lv-LV"/>
              </w:rPr>
              <w:t>4.1.4.</w:t>
            </w:r>
          </w:p>
        </w:tc>
        <w:tc>
          <w:tcPr>
            <w:tcW w:w="6974" w:type="dxa"/>
            <w:vAlign w:val="center"/>
          </w:tcPr>
          <w:p w:rsidR="00902F26" w:rsidRPr="00902F26" w:rsidRDefault="00902F26" w:rsidP="009055CE">
            <w:pPr>
              <w:jc w:val="both"/>
              <w:rPr>
                <w:lang w:val="lv-LV"/>
              </w:rPr>
            </w:pPr>
            <w:r w:rsidRPr="00902F26">
              <w:rPr>
                <w:lang w:val="lv-LV"/>
              </w:rPr>
              <w:t xml:space="preserve">ar pretendenta paraksttiesīgas personas parakstu apstiprinātu </w:t>
            </w:r>
            <w:r w:rsidRPr="00902F26">
              <w:rPr>
                <w:b/>
                <w:lang w:val="lv-LV"/>
              </w:rPr>
              <w:t>apliecinājumu</w:t>
            </w:r>
            <w:r w:rsidRPr="00902F26">
              <w:rPr>
                <w:lang w:val="lv-LV"/>
              </w:rPr>
              <w:t xml:space="preserve">, ka pretendentam </w:t>
            </w:r>
            <w:r w:rsidRPr="00902F26">
              <w:rPr>
                <w:color w:val="000000"/>
                <w:lang w:val="lv-LV"/>
              </w:rPr>
              <w:t>ir atbilstošas tehniskās iespējas darbu veikšanai un pietiekošs skaits darbinieku, tajā skaitā arī atbilstošas kvalifikācijas darbinieki Nolikuma 1.3. apakšpunktā noteikto darbu veikšanai.</w:t>
            </w:r>
          </w:p>
        </w:tc>
      </w:tr>
      <w:tr w:rsidR="00902F26" w:rsidRPr="00902F26" w:rsidTr="009055CE">
        <w:trPr>
          <w:trHeight w:val="420"/>
        </w:trPr>
        <w:tc>
          <w:tcPr>
            <w:tcW w:w="2098" w:type="dxa"/>
            <w:vAlign w:val="center"/>
          </w:tcPr>
          <w:p w:rsidR="00902F26" w:rsidRPr="00902F26" w:rsidRDefault="00902F26" w:rsidP="009055CE">
            <w:pPr>
              <w:jc w:val="center"/>
              <w:rPr>
                <w:lang w:val="lv-LV"/>
              </w:rPr>
            </w:pPr>
            <w:r w:rsidRPr="00902F26">
              <w:rPr>
                <w:lang w:val="lv-LV"/>
              </w:rPr>
              <w:t>4.1.5.</w:t>
            </w:r>
          </w:p>
        </w:tc>
        <w:tc>
          <w:tcPr>
            <w:tcW w:w="6974" w:type="dxa"/>
            <w:vAlign w:val="center"/>
          </w:tcPr>
          <w:p w:rsidR="00902F26" w:rsidRPr="00902F26" w:rsidRDefault="00902F26" w:rsidP="009055CE">
            <w:pPr>
              <w:jc w:val="both"/>
              <w:rPr>
                <w:lang w:val="lv-LV"/>
              </w:rPr>
            </w:pPr>
            <w:r w:rsidRPr="00902F26">
              <w:rPr>
                <w:b/>
                <w:lang w:val="lv-LV"/>
              </w:rPr>
              <w:t>atļauju vai/un licenču vai/un sertifikātu kopijas</w:t>
            </w:r>
            <w:r w:rsidRPr="00902F26">
              <w:rPr>
                <w:lang w:val="lv-LV"/>
              </w:rPr>
              <w:t xml:space="preserve"> attiecīgo atkritumu (atkritumu klase – 190805) apsaimniekošanas pakalpojumu sniegšanai, kas apliecina pretendenta iespējas sniegt attiecīgus atkritumu apsaimniekošanas pakalpojumus atbilstoši Iepirkuma priekšmetam.</w:t>
            </w:r>
          </w:p>
        </w:tc>
      </w:tr>
    </w:tbl>
    <w:p w:rsid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w:t>
      </w:r>
      <w:r w:rsidR="00615792">
        <w:rPr>
          <w:rFonts w:eastAsiaTheme="minorHAnsi" w:cstheme="minorBidi"/>
          <w:lang w:val="lv-LV"/>
        </w:rPr>
        <w:t>a iesniegtā piedāvājuma</w:t>
      </w:r>
      <w:r w:rsidRPr="00AF1248">
        <w:rPr>
          <w:rFonts w:eastAsiaTheme="minorHAnsi" w:cstheme="minorBidi"/>
          <w:lang w:val="lv-LV"/>
        </w:rPr>
        <w:t xml:space="preserve"> atbilstību Nolikuma kvalifikācijas prasībām.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5"/>
        <w:gridCol w:w="3260"/>
      </w:tblGrid>
      <w:tr w:rsidR="00902F26" w:rsidRPr="003E058C" w:rsidTr="009055CE">
        <w:trPr>
          <w:trHeight w:val="412"/>
        </w:trPr>
        <w:tc>
          <w:tcPr>
            <w:tcW w:w="2977"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Nolikuma apakšpunkta Nr.</w:t>
            </w:r>
          </w:p>
        </w:tc>
        <w:tc>
          <w:tcPr>
            <w:tcW w:w="2835" w:type="dxa"/>
            <w:vAlign w:val="center"/>
          </w:tcPr>
          <w:p w:rsidR="00902F26" w:rsidRPr="003E058C" w:rsidRDefault="00902F26" w:rsidP="009055CE">
            <w:pPr>
              <w:pStyle w:val="NoSpacing"/>
              <w:jc w:val="center"/>
              <w:rPr>
                <w:rFonts w:ascii="Times New Roman" w:hAnsi="Times New Roman"/>
                <w:bCs/>
                <w:sz w:val="24"/>
                <w:szCs w:val="24"/>
                <w:lang w:eastAsia="lv-LV"/>
              </w:rPr>
            </w:pPr>
            <w:r>
              <w:rPr>
                <w:rFonts w:ascii="Times New Roman" w:hAnsi="Times New Roman"/>
                <w:bCs/>
                <w:sz w:val="24"/>
                <w:szCs w:val="24"/>
                <w:lang w:eastAsia="lv-LV"/>
              </w:rPr>
              <w:t>SIA "Vateris Enviro</w:t>
            </w:r>
            <w:r w:rsidRPr="003E058C">
              <w:rPr>
                <w:rFonts w:ascii="Times New Roman" w:hAnsi="Times New Roman"/>
                <w:bCs/>
                <w:sz w:val="24"/>
                <w:szCs w:val="24"/>
                <w:lang w:eastAsia="lv-LV"/>
              </w:rPr>
              <w:t>"</w:t>
            </w:r>
          </w:p>
        </w:tc>
        <w:tc>
          <w:tcPr>
            <w:tcW w:w="3260" w:type="dxa"/>
            <w:vAlign w:val="center"/>
          </w:tcPr>
          <w:p w:rsidR="00902F26" w:rsidRDefault="00902F26" w:rsidP="009055CE">
            <w:pPr>
              <w:pStyle w:val="NoSpacing"/>
              <w:jc w:val="center"/>
              <w:rPr>
                <w:rFonts w:ascii="Times New Roman" w:hAnsi="Times New Roman"/>
                <w:bCs/>
                <w:sz w:val="24"/>
                <w:szCs w:val="24"/>
                <w:lang w:eastAsia="lv-LV"/>
              </w:rPr>
            </w:pPr>
            <w:r>
              <w:rPr>
                <w:rFonts w:ascii="Times New Roman" w:hAnsi="Times New Roman"/>
                <w:bCs/>
                <w:sz w:val="24"/>
                <w:szCs w:val="24"/>
                <w:lang w:eastAsia="lv-LV"/>
              </w:rPr>
              <w:t>SIA "EKO OSTA</w:t>
            </w:r>
            <w:r w:rsidRPr="003E058C">
              <w:rPr>
                <w:rFonts w:ascii="Times New Roman" w:hAnsi="Times New Roman"/>
                <w:bCs/>
                <w:sz w:val="24"/>
                <w:szCs w:val="24"/>
                <w:lang w:eastAsia="lv-LV"/>
              </w:rPr>
              <w:t>"</w:t>
            </w:r>
          </w:p>
        </w:tc>
      </w:tr>
      <w:tr w:rsidR="00902F26" w:rsidRPr="003E058C" w:rsidTr="009055CE">
        <w:tc>
          <w:tcPr>
            <w:tcW w:w="2977"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4.1.1.</w:t>
            </w:r>
          </w:p>
        </w:tc>
        <w:tc>
          <w:tcPr>
            <w:tcW w:w="2835"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Ir iesniegts/atbilst</w:t>
            </w:r>
          </w:p>
        </w:tc>
        <w:tc>
          <w:tcPr>
            <w:tcW w:w="3260"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r w:rsidR="00902F26" w:rsidRPr="003E058C" w:rsidTr="009055CE">
        <w:tc>
          <w:tcPr>
            <w:tcW w:w="2977"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4.1.2.</w:t>
            </w:r>
          </w:p>
        </w:tc>
        <w:tc>
          <w:tcPr>
            <w:tcW w:w="2835"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Ir iesniegts/atbilst</w:t>
            </w:r>
          </w:p>
        </w:tc>
        <w:tc>
          <w:tcPr>
            <w:tcW w:w="3260"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r w:rsidR="00902F26" w:rsidRPr="003E058C" w:rsidTr="009055CE">
        <w:tc>
          <w:tcPr>
            <w:tcW w:w="2977" w:type="dxa"/>
            <w:vAlign w:val="center"/>
          </w:tcPr>
          <w:p w:rsidR="00902F26" w:rsidRPr="003E058C" w:rsidRDefault="00902F26" w:rsidP="009055CE">
            <w:pPr>
              <w:pStyle w:val="NoSpacing"/>
              <w:jc w:val="center"/>
              <w:rPr>
                <w:rFonts w:ascii="Times New Roman" w:hAnsi="Times New Roman"/>
                <w:sz w:val="24"/>
                <w:szCs w:val="24"/>
              </w:rPr>
            </w:pPr>
            <w:r>
              <w:rPr>
                <w:rFonts w:ascii="Times New Roman" w:hAnsi="Times New Roman"/>
                <w:sz w:val="24"/>
                <w:szCs w:val="24"/>
              </w:rPr>
              <w:t>4.1</w:t>
            </w:r>
            <w:r w:rsidRPr="003E058C">
              <w:rPr>
                <w:rFonts w:ascii="Times New Roman" w:hAnsi="Times New Roman"/>
                <w:sz w:val="24"/>
                <w:szCs w:val="24"/>
              </w:rPr>
              <w:t>.</w:t>
            </w:r>
            <w:r>
              <w:rPr>
                <w:rFonts w:ascii="Times New Roman" w:hAnsi="Times New Roman"/>
                <w:sz w:val="24"/>
                <w:szCs w:val="24"/>
              </w:rPr>
              <w:t>3.</w:t>
            </w:r>
          </w:p>
        </w:tc>
        <w:tc>
          <w:tcPr>
            <w:tcW w:w="2835"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Ir iesniegts/atbilst</w:t>
            </w:r>
          </w:p>
        </w:tc>
        <w:tc>
          <w:tcPr>
            <w:tcW w:w="3260"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r w:rsidR="00902F26" w:rsidRPr="003E058C" w:rsidTr="009055CE">
        <w:tc>
          <w:tcPr>
            <w:tcW w:w="2977" w:type="dxa"/>
            <w:vAlign w:val="center"/>
          </w:tcPr>
          <w:p w:rsidR="00902F26" w:rsidRDefault="00902F26" w:rsidP="009055CE">
            <w:pPr>
              <w:pStyle w:val="NoSpacing"/>
              <w:jc w:val="center"/>
              <w:rPr>
                <w:rFonts w:ascii="Times New Roman" w:hAnsi="Times New Roman"/>
                <w:sz w:val="24"/>
                <w:szCs w:val="24"/>
              </w:rPr>
            </w:pPr>
            <w:r>
              <w:rPr>
                <w:rFonts w:ascii="Times New Roman" w:hAnsi="Times New Roman"/>
                <w:sz w:val="24"/>
                <w:szCs w:val="24"/>
              </w:rPr>
              <w:t>4.1.4.</w:t>
            </w:r>
          </w:p>
        </w:tc>
        <w:tc>
          <w:tcPr>
            <w:tcW w:w="2835"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Ir iesniegts/atbilst</w:t>
            </w:r>
          </w:p>
        </w:tc>
        <w:tc>
          <w:tcPr>
            <w:tcW w:w="3260"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r w:rsidR="00902F26" w:rsidRPr="003E058C" w:rsidTr="009055CE">
        <w:tc>
          <w:tcPr>
            <w:tcW w:w="2977" w:type="dxa"/>
            <w:vAlign w:val="center"/>
          </w:tcPr>
          <w:p w:rsidR="00902F26" w:rsidRDefault="00902F26" w:rsidP="009055CE">
            <w:pPr>
              <w:pStyle w:val="NoSpacing"/>
              <w:jc w:val="center"/>
              <w:rPr>
                <w:rFonts w:ascii="Times New Roman" w:hAnsi="Times New Roman"/>
                <w:sz w:val="24"/>
                <w:szCs w:val="24"/>
              </w:rPr>
            </w:pPr>
            <w:r>
              <w:rPr>
                <w:rFonts w:ascii="Times New Roman" w:hAnsi="Times New Roman"/>
                <w:sz w:val="24"/>
                <w:szCs w:val="24"/>
              </w:rPr>
              <w:t>4.1.5.</w:t>
            </w:r>
          </w:p>
        </w:tc>
        <w:tc>
          <w:tcPr>
            <w:tcW w:w="2835"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Ir iesniegts/atbilst</w:t>
            </w:r>
          </w:p>
        </w:tc>
        <w:tc>
          <w:tcPr>
            <w:tcW w:w="3260" w:type="dxa"/>
            <w:vAlign w:val="center"/>
          </w:tcPr>
          <w:p w:rsidR="00902F26" w:rsidRPr="003E058C" w:rsidRDefault="00902F26" w:rsidP="009055CE">
            <w:pPr>
              <w:pStyle w:val="NoSpacing"/>
              <w:jc w:val="center"/>
              <w:rPr>
                <w:rFonts w:ascii="Times New Roman" w:hAnsi="Times New Roman"/>
                <w:sz w:val="24"/>
                <w:szCs w:val="24"/>
              </w:rPr>
            </w:pPr>
            <w:r w:rsidRPr="003E058C">
              <w:rPr>
                <w:rFonts w:ascii="Times New Roman" w:hAnsi="Times New Roman"/>
                <w:sz w:val="24"/>
                <w:szCs w:val="24"/>
              </w:rPr>
              <w:t>Ir iesniegts/atbilst</w:t>
            </w:r>
          </w:p>
        </w:tc>
      </w:tr>
    </w:tbl>
    <w:p w:rsidR="00A05F29" w:rsidRDefault="00A05F29" w:rsidP="00A05F29">
      <w:pPr>
        <w:pStyle w:val="NoSpacing"/>
        <w:jc w:val="both"/>
        <w:rPr>
          <w:rFonts w:ascii="Times New Roman" w:hAnsi="Times New Roman" w:cs="Times New Roman"/>
          <w:noProof w:val="0"/>
          <w:sz w:val="24"/>
          <w:szCs w:val="24"/>
          <w:lang w:eastAsia="lv-LV"/>
        </w:rPr>
      </w:pPr>
    </w:p>
    <w:p w:rsidR="00902F26" w:rsidRPr="00A05F29" w:rsidRDefault="00902F26" w:rsidP="00A05F29">
      <w:pPr>
        <w:pStyle w:val="NoSpacing"/>
        <w:ind w:right="-283" w:firstLine="567"/>
        <w:jc w:val="both"/>
        <w:rPr>
          <w:rFonts w:ascii="Times New Roman" w:hAnsi="Times New Roman" w:cs="Times New Roman"/>
          <w:sz w:val="24"/>
          <w:szCs w:val="24"/>
        </w:rPr>
      </w:pPr>
      <w:r w:rsidRPr="00A05F29">
        <w:rPr>
          <w:rFonts w:ascii="Times New Roman" w:hAnsi="Times New Roman" w:cs="Times New Roman"/>
          <w:noProof w:val="0"/>
          <w:sz w:val="24"/>
          <w:szCs w:val="24"/>
          <w:lang w:eastAsia="lv-LV"/>
        </w:rPr>
        <w:t xml:space="preserve">Saskaņā ar Nolikuma 1.9.5. apakšpunktu, lai apliecinātu atbilstību Nolikuma 4.1.5. apakšpunkta prasībām, </w:t>
      </w:r>
      <w:r w:rsidRPr="00A05F29">
        <w:rPr>
          <w:rFonts w:ascii="Times New Roman" w:hAnsi="Times New Roman" w:cs="Times New Roman"/>
          <w:sz w:val="24"/>
          <w:szCs w:val="24"/>
          <w:lang w:eastAsia="lv-LV"/>
        </w:rPr>
        <w:t>SIA "Vateris Enviro" iesniedza piesaistītā apakšuzņēmēja atļaujas kopiju, kas atbilst minētā apakšpunkta prasībām.</w:t>
      </w:r>
    </w:p>
    <w:p w:rsidR="00902F26" w:rsidRPr="00902F26" w:rsidRDefault="00902F26" w:rsidP="00902F26">
      <w:pPr>
        <w:spacing w:before="120"/>
        <w:ind w:right="-283" w:firstLine="567"/>
        <w:jc w:val="both"/>
        <w:rPr>
          <w:lang w:val="lv-LV"/>
        </w:rPr>
      </w:pPr>
      <w:r w:rsidRPr="00902F26">
        <w:rPr>
          <w:bCs/>
          <w:lang w:val="lv-LV" w:eastAsia="lv-LV"/>
        </w:rPr>
        <w:t>P</w:t>
      </w:r>
      <w:r w:rsidRPr="00902F26">
        <w:rPr>
          <w:bCs/>
          <w:lang w:val="lv-LV" w:eastAsia="lv-LV"/>
        </w:rPr>
        <w:t>retendentu</w:t>
      </w:r>
      <w:r w:rsidRPr="00902F26">
        <w:rPr>
          <w:lang w:val="lv-LV"/>
        </w:rPr>
        <w:t xml:space="preserve"> iesniegtie tehniskie piedāvājumi atbilst Nolikuma tehniskās specifikācijas prasībām.</w:t>
      </w:r>
    </w:p>
    <w:p w:rsidR="00AF1248" w:rsidRPr="00902F26" w:rsidRDefault="00902F26" w:rsidP="00902F26">
      <w:pPr>
        <w:ind w:firstLine="567"/>
        <w:jc w:val="both"/>
        <w:rPr>
          <w:rFonts w:eastAsiaTheme="minorHAnsi" w:cstheme="minorBidi"/>
          <w:bCs/>
          <w:lang w:val="lv-LV" w:eastAsia="lv-LV"/>
        </w:rPr>
      </w:pPr>
      <w:r>
        <w:rPr>
          <w:bCs/>
          <w:lang w:val="lv-LV" w:eastAsia="lv-LV"/>
        </w:rPr>
        <w:t>P</w:t>
      </w:r>
      <w:r w:rsidRPr="00902F26">
        <w:rPr>
          <w:bCs/>
          <w:lang w:val="lv-LV" w:eastAsia="lv-LV"/>
        </w:rPr>
        <w:t>retendentu piedāvājumi ir pareizi noformēti un atbilst Nolikuma prasībām.</w:t>
      </w:r>
    </w:p>
    <w:p w:rsidR="00DA6BC2" w:rsidRDefault="0066541C" w:rsidP="009403E1">
      <w:pPr>
        <w:pStyle w:val="BodyTextIndent2"/>
        <w:spacing w:before="120"/>
        <w:ind w:right="-283"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902F26" w:rsidRPr="00C81950" w:rsidRDefault="00902F26" w:rsidP="00902F26">
      <w:pPr>
        <w:pStyle w:val="BodyTextIndent2"/>
        <w:spacing w:after="120"/>
        <w:ind w:right="-908" w:firstLine="567"/>
        <w:rPr>
          <w:sz w:val="24"/>
        </w:rPr>
      </w:pPr>
      <w:r>
        <w:rPr>
          <w:sz w:val="24"/>
        </w:rPr>
        <w:t>P</w:t>
      </w:r>
      <w:r>
        <w:rPr>
          <w:sz w:val="24"/>
        </w:rPr>
        <w:t>retendentu</w:t>
      </w:r>
      <w:r>
        <w:rPr>
          <w:sz w:val="24"/>
        </w:rPr>
        <w:t xml:space="preserve"> finanšu piedāvājumi</w:t>
      </w:r>
      <w:r w:rsidRPr="00C81950">
        <w:rPr>
          <w:sz w:val="24"/>
        </w:rPr>
        <w:t>:</w:t>
      </w:r>
    </w:p>
    <w:tbl>
      <w:tblPr>
        <w:tblpPr w:leftFromText="180" w:rightFromText="180" w:vertAnchor="text" w:tblpX="-43"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5670"/>
      </w:tblGrid>
      <w:tr w:rsidR="00902F26" w:rsidRPr="00902F26" w:rsidTr="009055CE">
        <w:trPr>
          <w:trHeight w:val="700"/>
        </w:trPr>
        <w:tc>
          <w:tcPr>
            <w:tcW w:w="3397" w:type="dxa"/>
            <w:shd w:val="clear" w:color="auto" w:fill="auto"/>
            <w:vAlign w:val="center"/>
          </w:tcPr>
          <w:p w:rsidR="00902F26" w:rsidRPr="007C5131" w:rsidRDefault="00902F26" w:rsidP="009055CE">
            <w:pPr>
              <w:pStyle w:val="NoSpacing"/>
              <w:jc w:val="center"/>
              <w:rPr>
                <w:rFonts w:ascii="Times New Roman" w:hAnsi="Times New Roman"/>
                <w:sz w:val="24"/>
                <w:szCs w:val="24"/>
              </w:rPr>
            </w:pPr>
            <w:r w:rsidRPr="007C5131">
              <w:rPr>
                <w:rFonts w:ascii="Times New Roman" w:hAnsi="Times New Roman"/>
                <w:sz w:val="24"/>
                <w:szCs w:val="24"/>
              </w:rPr>
              <w:t>Pretendents</w:t>
            </w:r>
          </w:p>
        </w:tc>
        <w:tc>
          <w:tcPr>
            <w:tcW w:w="5670" w:type="dxa"/>
            <w:shd w:val="clear" w:color="auto" w:fill="auto"/>
            <w:vAlign w:val="center"/>
          </w:tcPr>
          <w:p w:rsidR="00902F26" w:rsidRPr="007C5131" w:rsidRDefault="00902F26" w:rsidP="009055CE">
            <w:pPr>
              <w:pStyle w:val="NoSpacing"/>
              <w:jc w:val="center"/>
              <w:rPr>
                <w:rFonts w:ascii="Times New Roman" w:hAnsi="Times New Roman"/>
                <w:sz w:val="24"/>
                <w:szCs w:val="24"/>
              </w:rPr>
            </w:pPr>
            <w:r w:rsidRPr="007C5131">
              <w:rPr>
                <w:rFonts w:ascii="Times New Roman" w:hAnsi="Times New Roman"/>
                <w:sz w:val="24"/>
                <w:szCs w:val="24"/>
              </w:rPr>
              <w:t xml:space="preserve">Pakalpojuma </w:t>
            </w:r>
            <w:r>
              <w:rPr>
                <w:rFonts w:ascii="Times New Roman" w:hAnsi="Times New Roman"/>
                <w:sz w:val="24"/>
                <w:szCs w:val="24"/>
              </w:rPr>
              <w:t>l</w:t>
            </w:r>
            <w:r w:rsidRPr="007C5131">
              <w:rPr>
                <w:rFonts w:ascii="Times New Roman" w:hAnsi="Times New Roman"/>
                <w:sz w:val="24"/>
                <w:szCs w:val="24"/>
              </w:rPr>
              <w:t>īgumcena EUR bez PVN</w:t>
            </w:r>
          </w:p>
          <w:p w:rsidR="00902F26" w:rsidRPr="007C5131" w:rsidRDefault="00902F26" w:rsidP="009055CE">
            <w:pPr>
              <w:pStyle w:val="NoSpacing"/>
              <w:jc w:val="center"/>
              <w:rPr>
                <w:rFonts w:ascii="Times New Roman" w:hAnsi="Times New Roman"/>
                <w:sz w:val="24"/>
                <w:szCs w:val="24"/>
              </w:rPr>
            </w:pPr>
            <w:r w:rsidRPr="007C5131">
              <w:rPr>
                <w:rFonts w:ascii="Times New Roman" w:hAnsi="Times New Roman"/>
                <w:sz w:val="24"/>
                <w:szCs w:val="24"/>
              </w:rPr>
              <w:t>(piedāvājuma izvēles kritērijs)</w:t>
            </w:r>
          </w:p>
        </w:tc>
      </w:tr>
      <w:tr w:rsidR="00902F26" w:rsidRPr="007C5131" w:rsidTr="009055CE">
        <w:trPr>
          <w:trHeight w:val="722"/>
        </w:trPr>
        <w:tc>
          <w:tcPr>
            <w:tcW w:w="3397" w:type="dxa"/>
            <w:vAlign w:val="center"/>
          </w:tcPr>
          <w:p w:rsidR="00902F26" w:rsidRPr="007C5131" w:rsidRDefault="00902F26" w:rsidP="009055CE">
            <w:pPr>
              <w:pStyle w:val="NoSpacing"/>
              <w:jc w:val="center"/>
              <w:rPr>
                <w:rFonts w:ascii="Times New Roman" w:hAnsi="Times New Roman"/>
                <w:sz w:val="24"/>
                <w:szCs w:val="24"/>
              </w:rPr>
            </w:pPr>
            <w:r w:rsidRPr="007C5131">
              <w:rPr>
                <w:rFonts w:ascii="Times New Roman" w:hAnsi="Times New Roman"/>
                <w:sz w:val="24"/>
                <w:szCs w:val="24"/>
              </w:rPr>
              <w:t>SIA "Vateris Enviro", reģistrācijas Nr.40103615461</w:t>
            </w:r>
          </w:p>
        </w:tc>
        <w:tc>
          <w:tcPr>
            <w:tcW w:w="5670" w:type="dxa"/>
            <w:shd w:val="clear" w:color="auto" w:fill="auto"/>
            <w:vAlign w:val="center"/>
          </w:tcPr>
          <w:p w:rsidR="00902F26" w:rsidRPr="007C5131" w:rsidRDefault="00902F26" w:rsidP="009055CE">
            <w:pPr>
              <w:pStyle w:val="NoSpacing"/>
              <w:jc w:val="center"/>
              <w:rPr>
                <w:rFonts w:ascii="Times New Roman" w:hAnsi="Times New Roman"/>
                <w:sz w:val="24"/>
                <w:szCs w:val="24"/>
              </w:rPr>
            </w:pPr>
            <w:r w:rsidRPr="007C5131">
              <w:rPr>
                <w:rFonts w:ascii="Times New Roman" w:hAnsi="Times New Roman"/>
                <w:sz w:val="24"/>
                <w:szCs w:val="24"/>
              </w:rPr>
              <w:t>40 197,60</w:t>
            </w:r>
          </w:p>
        </w:tc>
      </w:tr>
      <w:tr w:rsidR="00902F26" w:rsidRPr="007C5131" w:rsidTr="009055CE">
        <w:trPr>
          <w:trHeight w:val="499"/>
        </w:trPr>
        <w:tc>
          <w:tcPr>
            <w:tcW w:w="3397" w:type="dxa"/>
            <w:vAlign w:val="center"/>
          </w:tcPr>
          <w:p w:rsidR="00902F26" w:rsidRPr="007C5131" w:rsidRDefault="00902F26" w:rsidP="009055CE">
            <w:pPr>
              <w:pStyle w:val="NoSpacing"/>
              <w:jc w:val="center"/>
              <w:rPr>
                <w:rFonts w:ascii="Times New Roman" w:hAnsi="Times New Roman"/>
                <w:sz w:val="24"/>
                <w:szCs w:val="24"/>
              </w:rPr>
            </w:pPr>
            <w:r w:rsidRPr="007C5131">
              <w:rPr>
                <w:rFonts w:ascii="Times New Roman" w:hAnsi="Times New Roman"/>
                <w:sz w:val="24"/>
                <w:szCs w:val="24"/>
              </w:rPr>
              <w:t>SIA "EKO OSTA", reģistrācijas Nr.40003428805</w:t>
            </w:r>
          </w:p>
        </w:tc>
        <w:tc>
          <w:tcPr>
            <w:tcW w:w="5670" w:type="dxa"/>
            <w:shd w:val="clear" w:color="auto" w:fill="auto"/>
            <w:vAlign w:val="center"/>
          </w:tcPr>
          <w:p w:rsidR="00902F26" w:rsidRPr="007C5131" w:rsidRDefault="00902F26" w:rsidP="009055CE">
            <w:pPr>
              <w:pStyle w:val="NoSpacing"/>
              <w:jc w:val="center"/>
              <w:rPr>
                <w:rFonts w:ascii="Times New Roman" w:hAnsi="Times New Roman"/>
                <w:sz w:val="24"/>
                <w:szCs w:val="24"/>
              </w:rPr>
            </w:pPr>
            <w:r w:rsidRPr="007C5131">
              <w:rPr>
                <w:rFonts w:ascii="Times New Roman" w:hAnsi="Times New Roman"/>
                <w:sz w:val="24"/>
                <w:szCs w:val="24"/>
              </w:rPr>
              <w:t>41 400,00</w:t>
            </w:r>
          </w:p>
        </w:tc>
      </w:tr>
    </w:tbl>
    <w:p w:rsidR="00902F26" w:rsidRPr="00902F26" w:rsidRDefault="00902F26" w:rsidP="00902F26">
      <w:pPr>
        <w:spacing w:before="120"/>
        <w:ind w:right="-283" w:firstLine="567"/>
        <w:jc w:val="both"/>
        <w:rPr>
          <w:lang w:val="lv-LV"/>
        </w:rPr>
      </w:pPr>
      <w:r>
        <w:rPr>
          <w:lang w:val="lv-LV"/>
        </w:rPr>
        <w:t>Ņ</w:t>
      </w:r>
      <w:r w:rsidRPr="00902F26">
        <w:rPr>
          <w:lang w:val="lv-LV"/>
        </w:rPr>
        <w:t>emot vērā, ka piedāvājuma izvēles kritērijs ir – viszemākā pakalpojuma līgumcena, ar iekļautiem visiem nodokļiem (izņemot PVN) un izdevumiem, līguma slēgšanas tiesības būtu piešķiramas SIA "Vateris Enviro", reģistrācijas Nr.40103615461</w:t>
      </w:r>
      <w:r w:rsidRPr="00902F26">
        <w:rPr>
          <w:bCs/>
          <w:lang w:val="lv-LV" w:eastAsia="lv-LV"/>
        </w:rPr>
        <w:t xml:space="preserve">, juridiskā adrese: </w:t>
      </w:r>
      <w:hyperlink r:id="rId8" w:history="1">
        <w:r w:rsidRPr="00902F26">
          <w:rPr>
            <w:lang w:val="lv-LV"/>
          </w:rPr>
          <w:t>Babītes nov., Salas pag., Spuņciems, "Ezeri"-32</w:t>
        </w:r>
      </w:hyperlink>
      <w:r w:rsidRPr="00902F26">
        <w:rPr>
          <w:lang w:val="lv-LV"/>
        </w:rPr>
        <w:t>, LV-2105</w:t>
      </w:r>
      <w:r w:rsidRPr="00902F26">
        <w:rPr>
          <w:bCs/>
          <w:lang w:val="lv-LV"/>
        </w:rPr>
        <w:t>.</w:t>
      </w:r>
    </w:p>
    <w:p w:rsidR="00902F26" w:rsidRPr="00902F26" w:rsidRDefault="00902F26" w:rsidP="00902F26">
      <w:pPr>
        <w:ind w:right="-283" w:firstLine="567"/>
        <w:jc w:val="both"/>
        <w:rPr>
          <w:lang w:val="lv-LV"/>
        </w:rPr>
      </w:pPr>
      <w:r>
        <w:rPr>
          <w:lang w:val="lv-LV"/>
        </w:rPr>
        <w:t>Atbilstoši Likuma</w:t>
      </w:r>
      <w:r w:rsidRPr="00902F26">
        <w:rPr>
          <w:lang w:val="lv-LV"/>
        </w:rPr>
        <w:t xml:space="preserve"> 9. panta trīspadsmitās daļas nosacījumiem pēc piedāvājumu iesniegšanas termiņa beigām Iepirkumu komisija izvērtē iesniegtos piedāvājumus un izvēlas vienu vai vairākus piedāvājumus. Iepirkumu komisija par uzvarētāju Iepirkumā atzīst pretendentu, kurš izraudzīts atbilstoši noteiktajām prasībām un kritērijiem un nav izslēdzams no dalības Iepirkumā saskaņā ar Likuma 9. panta astoto daļu.</w:t>
      </w:r>
    </w:p>
    <w:p w:rsidR="00902F26" w:rsidRPr="00902F26" w:rsidRDefault="00902F26" w:rsidP="00902F26">
      <w:pPr>
        <w:ind w:right="-283" w:firstLine="720"/>
        <w:jc w:val="both"/>
        <w:rPr>
          <w:lang w:val="lv-LV"/>
        </w:rPr>
      </w:pPr>
      <w:r w:rsidRPr="00902F26">
        <w:rPr>
          <w:lang w:val="lv-LV"/>
        </w:rPr>
        <w:t>Atbilstoši Likuma 9. panta devītās daļas nosacījumiem pasūtītājs, izmantojot Ministru kabineta noteikto informācijas sistēmu – saņem un pārbauda informāciju par pretendentu.</w:t>
      </w:r>
    </w:p>
    <w:p w:rsidR="00902F26" w:rsidRPr="00902F26" w:rsidRDefault="00902F26" w:rsidP="00902F26">
      <w:pPr>
        <w:ind w:right="-283" w:firstLine="720"/>
        <w:jc w:val="both"/>
        <w:rPr>
          <w:lang w:val="lv-LV"/>
        </w:rPr>
      </w:pPr>
      <w:r w:rsidRPr="00902F26">
        <w:rPr>
          <w:lang w:val="lv-LV"/>
        </w:rPr>
        <w:t>Saskaņā ar E-izziņu sistēmas datubāzes saņemto informāciju SIA "Vateris Enviro", reģistrācijas Nr.40103615461</w:t>
      </w:r>
      <w:r w:rsidRPr="00902F26">
        <w:rPr>
          <w:bCs/>
          <w:lang w:val="lv-LV" w:eastAsia="lv-LV"/>
        </w:rPr>
        <w:t xml:space="preserve">, </w:t>
      </w:r>
      <w:r w:rsidRPr="00902F26">
        <w:rPr>
          <w:lang w:val="lv-LV"/>
        </w:rPr>
        <w:t>nav pasludināts maksātnespējas process (izņemot gadījumu, kad maksātnespējas procesā tiek piemērots uz parādnieka maksātspējas atjaunošanu vērsts pasākumu kopums), nav apturēta tā saimnieciskā darbība, nav likvidācijas, bet ir nodokļu (nodevu) parāds piedāvājumu iesniegšanas termiņa pēdējā dienā (2018. gada 27. aprīlī), kas kopsummā pārsniedz 150,00 EUR (viens simts piecdesmit </w:t>
      </w:r>
      <w:r w:rsidRPr="00902F26">
        <w:rPr>
          <w:i/>
          <w:lang w:val="lv-LV"/>
        </w:rPr>
        <w:t>euro</w:t>
      </w:r>
      <w:r w:rsidRPr="00902F26">
        <w:rPr>
          <w:lang w:val="lv-LV"/>
        </w:rPr>
        <w:t xml:space="preserve"> un 00 </w:t>
      </w:r>
      <w:r w:rsidRPr="00902F26">
        <w:rPr>
          <w:i/>
          <w:lang w:val="lv-LV"/>
        </w:rPr>
        <w:t xml:space="preserve">euro </w:t>
      </w:r>
      <w:r w:rsidRPr="00902F26">
        <w:rPr>
          <w:lang w:val="lv-LV"/>
        </w:rPr>
        <w:t>centi).</w:t>
      </w:r>
    </w:p>
    <w:p w:rsidR="00902F26" w:rsidRDefault="00902F26" w:rsidP="00902F26">
      <w:pPr>
        <w:ind w:right="-283" w:firstLine="567"/>
        <w:jc w:val="both"/>
        <w:rPr>
          <w:lang w:val="lv-LV"/>
        </w:rPr>
      </w:pPr>
      <w:r w:rsidRPr="00902F26">
        <w:rPr>
          <w:lang w:val="lv-LV"/>
        </w:rPr>
        <w:t>Atbilstoši Likuma 9. panta desmitās daļas otrā punkta nosacījumiem pasūtītājs informē pretendentu par to, ka ir konstatēti nodokļu (nodevu) parādi, kas kopsummā pārsniedz 150,00 EUR (viens simts piecdesmit </w:t>
      </w:r>
      <w:r w:rsidRPr="00902F26">
        <w:rPr>
          <w:i/>
          <w:lang w:val="lv-LV"/>
        </w:rPr>
        <w:t>euro</w:t>
      </w:r>
      <w:r w:rsidRPr="00902F26">
        <w:rPr>
          <w:lang w:val="lv-LV"/>
        </w:rPr>
        <w:t xml:space="preserve"> un 00 </w:t>
      </w:r>
      <w:r w:rsidRPr="00902F26">
        <w:rPr>
          <w:i/>
          <w:lang w:val="lv-LV"/>
        </w:rPr>
        <w:t xml:space="preserve">euro </w:t>
      </w:r>
      <w:r w:rsidRPr="00902F26">
        <w:rPr>
          <w:lang w:val="lv-LV"/>
        </w:rPr>
        <w:t>centi), un nosaka termiņu – 10 dienas pēc informācijas izsniegšanas vai nosūtīšanas dienas, līdz kuram iesniedzams apliecinājums, ka pretendentam piedāvājumu iesniegšanas termiņa pēdējā dienā vai dienā, kad pieņemts lēmums par iespējamu iepirkuma līguma slēgšanas tiesību piešķiršanu, nebija nodokļu parādu, tai skaitā valsts sociālās apdrošināšanas obligāto iemaksu parādu, kas kopsummā pārsniedz 150,00 EUR (viens simts piecdesmit </w:t>
      </w:r>
      <w:r w:rsidRPr="00902F26">
        <w:rPr>
          <w:i/>
          <w:lang w:val="lv-LV"/>
        </w:rPr>
        <w:t>euro</w:t>
      </w:r>
      <w:r w:rsidRPr="00902F26">
        <w:rPr>
          <w:lang w:val="lv-LV"/>
        </w:rPr>
        <w:t xml:space="preserve"> un 00 </w:t>
      </w:r>
      <w:r w:rsidRPr="00902F26">
        <w:rPr>
          <w:i/>
          <w:lang w:val="lv-LV"/>
        </w:rPr>
        <w:t xml:space="preserve">euro </w:t>
      </w:r>
      <w:r w:rsidRPr="00902F26">
        <w:rPr>
          <w:lang w:val="lv-LV"/>
        </w:rPr>
        <w:t>centi). Ja noteiktajā termiņā apliecinājums nav iesniegts, pasūtītājs pretendentu izslēdz no dalības iepirkumā.</w:t>
      </w:r>
    </w:p>
    <w:p w:rsidR="00A05F29" w:rsidRPr="00A05F29" w:rsidRDefault="00A05F29" w:rsidP="00902F26">
      <w:pPr>
        <w:ind w:right="-283" w:firstLine="567"/>
        <w:jc w:val="both"/>
        <w:rPr>
          <w:lang w:val="lv-LV"/>
        </w:rPr>
      </w:pPr>
      <w:r>
        <w:rPr>
          <w:bCs/>
          <w:lang w:val="lv-LV"/>
        </w:rPr>
        <w:t>Iepirkumu komisija n</w:t>
      </w:r>
      <w:r w:rsidRPr="00A05F29">
        <w:rPr>
          <w:lang w:val="lv-LV"/>
        </w:rPr>
        <w:t>osūtīt vēstuli</w:t>
      </w:r>
      <w:r w:rsidRPr="00A05F29">
        <w:rPr>
          <w:bCs/>
          <w:lang w:val="lv-LV"/>
        </w:rPr>
        <w:t xml:space="preserve"> </w:t>
      </w:r>
      <w:r w:rsidRPr="00A05F29">
        <w:rPr>
          <w:lang w:val="lv-LV"/>
        </w:rPr>
        <w:t>SIA "Vateris Enviro", reģistrācijas Nr.40103615461, kurā Pārvalde lūdz iesniegt attiecīgu dokumentu, kas pierāda, ka pretendentam nebija nodokļu parādu, tai skaitā valsts sociālās apdrošināšanas obligāto iemaksu parādu, minētajā dienā (piedāvājumu iesniegšanas termiņa pēdējā dienā (2018. gada 27. aprīlī))</w:t>
      </w:r>
    </w:p>
    <w:p w:rsidR="00A05F29" w:rsidRPr="00A05F29" w:rsidRDefault="00A05F29" w:rsidP="00A05F29">
      <w:pPr>
        <w:ind w:right="-283" w:firstLine="567"/>
        <w:jc w:val="both"/>
        <w:rPr>
          <w:lang w:val="lv-LV"/>
        </w:rPr>
      </w:pPr>
      <w:r w:rsidRPr="00A05F29">
        <w:rPr>
          <w:lang w:val="lv-LV"/>
        </w:rPr>
        <w:t>Pārvaldē 2018. gada 9. maijā no SIA "Vateris Enviro" ir saņemta Valsts ieņēmumu dienesta izziņa (Pārvaldes reģ. Nr.5293).</w:t>
      </w:r>
    </w:p>
    <w:p w:rsidR="00902F26" w:rsidRDefault="00A05F29" w:rsidP="00A05F29">
      <w:pPr>
        <w:ind w:right="-283" w:firstLine="567"/>
        <w:jc w:val="both"/>
        <w:rPr>
          <w:lang w:val="lv-LV"/>
        </w:rPr>
      </w:pPr>
      <w:r w:rsidRPr="00A05F29">
        <w:rPr>
          <w:color w:val="000000"/>
          <w:lang w:val="lv-LV"/>
        </w:rPr>
        <w:t xml:space="preserve">Izskatot pretendenta iesniegto dokumentu, Iepirkumu komisija secina, ka </w:t>
      </w:r>
      <w:r w:rsidRPr="00A05F29">
        <w:rPr>
          <w:lang w:val="lv-LV"/>
        </w:rPr>
        <w:t xml:space="preserve">SIA "Vateris Enviro" iesniegtais dokuments, proti, izziņa no Valsts ieņēmumu dienesta, pierāda, ka pretendentam nebija parādu, kas kopsummā pārsniedz 150,00 (viens simts piecdesmit </w:t>
      </w:r>
      <w:r w:rsidRPr="00A05F29">
        <w:rPr>
          <w:i/>
          <w:lang w:val="lv-LV"/>
        </w:rPr>
        <w:t>euro</w:t>
      </w:r>
      <w:r w:rsidRPr="00A05F29">
        <w:rPr>
          <w:lang w:val="lv-LV"/>
        </w:rPr>
        <w:t xml:space="preserve"> un 00 </w:t>
      </w:r>
      <w:r w:rsidRPr="00A05F29">
        <w:rPr>
          <w:i/>
          <w:lang w:val="lv-LV"/>
        </w:rPr>
        <w:t>euro</w:t>
      </w:r>
      <w:r w:rsidRPr="00A05F29">
        <w:rPr>
          <w:lang w:val="lv-LV"/>
        </w:rPr>
        <w:t xml:space="preserve"> centi)</w:t>
      </w:r>
      <w:r w:rsidRPr="00A05F29">
        <w:rPr>
          <w:color w:val="000000"/>
          <w:lang w:val="lv-LV"/>
        </w:rPr>
        <w:t xml:space="preserve">, </w:t>
      </w:r>
      <w:r w:rsidRPr="00A05F29">
        <w:rPr>
          <w:lang w:val="lv-LV"/>
        </w:rPr>
        <w:t>piedāvājumu iesniegšanas termiņa pēdējā dienā (2018. gada 27. aprīlī).</w:t>
      </w:r>
    </w:p>
    <w:p w:rsidR="00A05F29" w:rsidRPr="00A05F29" w:rsidRDefault="00A05F29" w:rsidP="00A05F29">
      <w:pPr>
        <w:ind w:right="-283" w:firstLine="567"/>
        <w:jc w:val="both"/>
        <w:rPr>
          <w:lang w:val="lv-LV"/>
        </w:rPr>
      </w:pPr>
    </w:p>
    <w:p w:rsidR="009D1BC2" w:rsidRDefault="0066541C" w:rsidP="00902F26">
      <w:pPr>
        <w:ind w:right="-766"/>
        <w:jc w:val="both"/>
        <w:rPr>
          <w:lang w:val="lv-LV"/>
        </w:rPr>
      </w:pPr>
      <w:r>
        <w:rPr>
          <w:b/>
          <w:lang w:val="lv-LV"/>
        </w:rPr>
        <w:t>6</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6E4D0F" w:rsidRPr="00B571A0" w:rsidRDefault="00565544" w:rsidP="00277072">
      <w:pPr>
        <w:pStyle w:val="NoSpacing"/>
        <w:spacing w:before="120"/>
        <w:ind w:right="-283"/>
        <w:jc w:val="both"/>
      </w:pPr>
      <w:r w:rsidRPr="00565544">
        <w:t>"</w:t>
      </w:r>
      <w:r w:rsidR="00A05F29" w:rsidRPr="008B1958">
        <w:rPr>
          <w:rFonts w:ascii="Times New Roman" w:hAnsi="Times New Roman"/>
          <w:sz w:val="24"/>
          <w:szCs w:val="24"/>
        </w:rPr>
        <w:t>Par pretendenta piedāvājuma izvēles kritēriju tiek noteikts piedāvājums ar viszemāko pakalpojuma līgumcenu. Līgumcenā jābūt iekļautiem visiem nodokļiem (izņemot pievienotās vērtības nodokli (turpmāk – PVN) un izdevumiem (t.sk. transporta pakalpojumi, piegādes, u.c. izmaksas, kas saistītas ar Tehniskajā specifikācijā nenorādītu un neparedzētu darbu izpildi, kas tehnoloģiski saistīti ar iepirkuma priekšmetu īstenošanu noteiktajā termiņā un vietā)</w:t>
      </w:r>
      <w:r w:rsidR="00F45B7B" w:rsidRPr="00F45B7B">
        <w:rPr>
          <w:rFonts w:ascii="Times New Roman" w:hAnsi="Times New Roman" w:cs="Times New Roman"/>
          <w:sz w:val="24"/>
          <w:szCs w:val="24"/>
        </w:rPr>
        <w:t>.</w:t>
      </w:r>
      <w:r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4E51EE">
        <w:rPr>
          <w:lang w:val="lv-LV"/>
        </w:rPr>
        <w:t>8</w:t>
      </w:r>
      <w:r w:rsidR="00B67C54">
        <w:rPr>
          <w:lang w:val="lv-LV"/>
        </w:rPr>
        <w:t>.</w:t>
      </w:r>
      <w:r w:rsidR="00565544">
        <w:rPr>
          <w:lang w:val="lv-LV"/>
        </w:rPr>
        <w:t xml:space="preserve"> </w:t>
      </w:r>
      <w:r w:rsidR="00B67C54">
        <w:rPr>
          <w:lang w:val="lv-LV"/>
        </w:rPr>
        <w:t xml:space="preserve">gada </w:t>
      </w:r>
      <w:r w:rsidR="00A05F29">
        <w:rPr>
          <w:lang w:val="lv-LV"/>
        </w:rPr>
        <w:t>27</w:t>
      </w:r>
      <w:r w:rsidR="00B67C54">
        <w:rPr>
          <w:lang w:val="lv-LV"/>
        </w:rPr>
        <w:t>.</w:t>
      </w:r>
      <w:r w:rsidR="00A05F29">
        <w:rPr>
          <w:lang w:val="lv-LV"/>
        </w:rPr>
        <w:t xml:space="preserve"> aprīl</w:t>
      </w:r>
      <w:r w:rsidR="00593E6C">
        <w:rPr>
          <w:lang w:val="lv-LV"/>
        </w:rPr>
        <w:t>i</w:t>
      </w:r>
      <w:r w:rsidR="00F41D35">
        <w:rPr>
          <w:lang w:val="lv-LV"/>
        </w:rPr>
        <w:t>s</w:t>
      </w:r>
      <w:r w:rsidR="00B67C54">
        <w:rPr>
          <w:lang w:val="lv-LV"/>
        </w:rPr>
        <w:t>, plkst.11.00.</w:t>
      </w:r>
    </w:p>
    <w:p w:rsidR="00B67C54" w:rsidRDefault="00B67C54" w:rsidP="00277072">
      <w:pPr>
        <w:pStyle w:val="BodyTextIndent2"/>
        <w:ind w:right="-283"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4E51EE">
        <w:rPr>
          <w:sz w:val="24"/>
        </w:rPr>
        <w:t>8</w:t>
      </w:r>
      <w:r>
        <w:rPr>
          <w:sz w:val="24"/>
        </w:rPr>
        <w:t>.</w:t>
      </w:r>
      <w:r w:rsidR="00565544">
        <w:rPr>
          <w:sz w:val="24"/>
        </w:rPr>
        <w:t xml:space="preserve"> </w:t>
      </w:r>
      <w:r>
        <w:rPr>
          <w:sz w:val="24"/>
        </w:rPr>
        <w:t xml:space="preserve">gada </w:t>
      </w:r>
      <w:r w:rsidR="00A05F29">
        <w:rPr>
          <w:sz w:val="24"/>
        </w:rPr>
        <w:t>3</w:t>
      </w:r>
      <w:r>
        <w:rPr>
          <w:sz w:val="24"/>
        </w:rPr>
        <w:t>.</w:t>
      </w:r>
      <w:r w:rsidR="00565544">
        <w:rPr>
          <w:sz w:val="24"/>
        </w:rPr>
        <w:t xml:space="preserve"> </w:t>
      </w:r>
      <w:r w:rsidR="00A05F29">
        <w:rPr>
          <w:sz w:val="24"/>
        </w:rPr>
        <w:t>maijā</w:t>
      </w:r>
      <w:r>
        <w:rPr>
          <w:sz w:val="24"/>
        </w:rPr>
        <w:t>, plkst.</w:t>
      </w:r>
      <w:r w:rsidR="004610A1">
        <w:rPr>
          <w:sz w:val="24"/>
        </w:rPr>
        <w:t>1</w:t>
      </w:r>
      <w:r w:rsidR="00A05F29">
        <w:rPr>
          <w:sz w:val="24"/>
        </w:rPr>
        <w:t>3</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373266" w:rsidRPr="00373266" w:rsidRDefault="00373266" w:rsidP="0076480B">
      <w:pPr>
        <w:ind w:right="-283" w:firstLine="567"/>
        <w:jc w:val="both"/>
        <w:rPr>
          <w:lang w:val="lv-LV"/>
        </w:rPr>
      </w:pPr>
      <w:r w:rsidRPr="00373266">
        <w:rPr>
          <w:lang w:val="lv-LV"/>
        </w:rPr>
        <w:t>Atbilstoši Likuma 9. panta trīspadsmitās daļas nosacījumiem 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dalības iepirkumā saskaņā ar Likuma 9. panta astoto daļu.</w:t>
      </w:r>
    </w:p>
    <w:p w:rsidR="00373266" w:rsidRPr="00373266" w:rsidRDefault="00373266" w:rsidP="0076480B">
      <w:pPr>
        <w:ind w:right="-283" w:firstLine="709"/>
        <w:jc w:val="both"/>
        <w:rPr>
          <w:lang w:val="lv-LV"/>
        </w:rPr>
      </w:pPr>
      <w:r w:rsidRPr="00373266">
        <w:rPr>
          <w:lang w:val="lv-LV"/>
        </w:rPr>
        <w:t>Atbilstoši Likuma 9. panta devītās daļas nosacījumiem pasūtītājs, izmantojot Ministru kabineta noteikto informācijas sistēmu – pārbauda un saņem informāciju par pretendentu.</w:t>
      </w:r>
    </w:p>
    <w:p w:rsidR="00373266" w:rsidRPr="00373266" w:rsidRDefault="00373266" w:rsidP="0076480B">
      <w:pPr>
        <w:ind w:right="-283" w:firstLine="709"/>
        <w:jc w:val="both"/>
        <w:rPr>
          <w:lang w:val="lv-LV"/>
        </w:rPr>
      </w:pPr>
      <w:r w:rsidRPr="00373266">
        <w:rPr>
          <w:lang w:val="lv-LV"/>
        </w:rPr>
        <w:t xml:space="preserve">Saskaņā ar E-izziņu sistēmas datubāzes saņemto informāciju pretendentam SIA </w:t>
      </w:r>
      <w:r w:rsidR="00A05F29" w:rsidRPr="00A05F29">
        <w:rPr>
          <w:lang w:val="lv-LV"/>
        </w:rPr>
        <w:t>"Vateris Enviro", reģistrācijas Nr.40103615461</w:t>
      </w:r>
      <w:r w:rsidRPr="00373266">
        <w:rPr>
          <w:lang w:val="lv-LV"/>
        </w:rPr>
        <w:t>:</w:t>
      </w:r>
    </w:p>
    <w:p w:rsidR="00373266" w:rsidRPr="00373266" w:rsidRDefault="00373266" w:rsidP="0076480B">
      <w:pPr>
        <w:ind w:right="-283" w:firstLine="709"/>
        <w:jc w:val="both"/>
        <w:rPr>
          <w:lang w:val="lv-LV"/>
        </w:rPr>
      </w:pPr>
      <w:r w:rsidRPr="00373266">
        <w:rPr>
          <w:lang w:val="lv-LV"/>
        </w:rPr>
        <w:t xml:space="preserve">– nav nodokļu (nodevu) parādi, tajā skaitā valsts sociālās apdrošināšanas obligāto iemaksu parādi, kas kopsummā pārsniedz 150,00 EUR (viens simts piecdesmit </w:t>
      </w:r>
      <w:r w:rsidRPr="00373266">
        <w:rPr>
          <w:i/>
          <w:lang w:val="lv-LV"/>
        </w:rPr>
        <w:t xml:space="preserve">euro </w:t>
      </w:r>
      <w:r w:rsidRPr="00373266">
        <w:rPr>
          <w:lang w:val="lv-LV"/>
        </w:rPr>
        <w:t xml:space="preserve">un nulle </w:t>
      </w:r>
      <w:r w:rsidRPr="00373266">
        <w:rPr>
          <w:i/>
          <w:lang w:val="lv-LV"/>
        </w:rPr>
        <w:t>euro</w:t>
      </w:r>
      <w:r w:rsidRPr="00373266">
        <w:rPr>
          <w:lang w:val="lv-LV"/>
        </w:rPr>
        <w:t xml:space="preserve"> centi);</w:t>
      </w:r>
    </w:p>
    <w:p w:rsidR="00373266" w:rsidRPr="00373266" w:rsidRDefault="00373266" w:rsidP="0076480B">
      <w:pPr>
        <w:ind w:right="-283" w:firstLine="709"/>
        <w:jc w:val="both"/>
        <w:rPr>
          <w:lang w:val="lv-LV"/>
        </w:rPr>
      </w:pPr>
      <w:r w:rsidRPr="00373266">
        <w:rPr>
          <w:lang w:val="lv-LV"/>
        </w:rPr>
        <w:t>– nav pasludināts maksātnespējas process (izņemot gadījumu, kad maksātnespējas procesā tiek piemērots uz parādnieka maksātspējas atjaunošanu vērsts pasākumu kopums), nav apturēta tā saimnieciskā darbība, nav likvidācijas.</w:t>
      </w:r>
    </w:p>
    <w:p w:rsidR="004B07C8" w:rsidRPr="00373266" w:rsidRDefault="004B07C8" w:rsidP="004B07C8">
      <w:pPr>
        <w:ind w:right="-766"/>
        <w:jc w:val="both"/>
        <w:rPr>
          <w:b/>
          <w:u w:val="single"/>
          <w:lang w:val="lv-LV"/>
        </w:rPr>
      </w:pPr>
    </w:p>
    <w:p w:rsidR="00373266" w:rsidRPr="00373266" w:rsidRDefault="00373266" w:rsidP="00373266">
      <w:pPr>
        <w:spacing w:before="120" w:after="120"/>
        <w:ind w:firstLine="567"/>
        <w:jc w:val="both"/>
        <w:rPr>
          <w:b/>
          <w:u w:val="single"/>
          <w:lang w:val="lv-LV"/>
        </w:rPr>
      </w:pPr>
      <w:r w:rsidRPr="00373266">
        <w:rPr>
          <w:b/>
          <w:u w:val="single"/>
          <w:lang w:val="lv-LV"/>
        </w:rPr>
        <w:t>Iepirkumu komisijas lēmums:</w:t>
      </w:r>
    </w:p>
    <w:p w:rsidR="00A05F29" w:rsidRPr="00A05F29" w:rsidRDefault="00A05F29" w:rsidP="00A05F29">
      <w:pPr>
        <w:ind w:right="-283" w:firstLine="709"/>
        <w:jc w:val="both"/>
        <w:rPr>
          <w:lang w:val="lv-LV"/>
        </w:rPr>
      </w:pPr>
      <w:r w:rsidRPr="00A05F29">
        <w:rPr>
          <w:lang w:val="lv-LV"/>
        </w:rPr>
        <w:t>1. Par Pārvaldes rīkotā Iepirkuma uzvarētāju atzīt un līguma slēgšanas tiesības piešķirt SIA "Vateris Enviro", reģistrācijas Nr.40103615461</w:t>
      </w:r>
      <w:r w:rsidRPr="00A05F29">
        <w:rPr>
          <w:bCs/>
          <w:lang w:val="lv-LV" w:eastAsia="lv-LV"/>
        </w:rPr>
        <w:t xml:space="preserve">, juridiskā adrese: </w:t>
      </w:r>
      <w:hyperlink r:id="rId9" w:history="1">
        <w:r w:rsidRPr="00A05F29">
          <w:rPr>
            <w:lang w:val="lv-LV"/>
          </w:rPr>
          <w:t>Babītes nov., Salas pag., Spuņciems, "Ezeri"-32</w:t>
        </w:r>
      </w:hyperlink>
      <w:r w:rsidRPr="00A05F29">
        <w:rPr>
          <w:lang w:val="lv-LV"/>
        </w:rPr>
        <w:t>, LV-2105</w:t>
      </w:r>
      <w:r w:rsidRPr="00A05F29">
        <w:rPr>
          <w:bCs/>
          <w:lang w:val="lv-LV"/>
        </w:rPr>
        <w:t>.</w:t>
      </w:r>
    </w:p>
    <w:p w:rsidR="00A05F29" w:rsidRPr="00A05F29" w:rsidRDefault="00A05F29" w:rsidP="00A05F29">
      <w:pPr>
        <w:ind w:right="-283" w:firstLine="709"/>
        <w:jc w:val="both"/>
        <w:rPr>
          <w:lang w:val="lv-LV"/>
        </w:rPr>
      </w:pPr>
      <w:r w:rsidRPr="00A05F29">
        <w:rPr>
          <w:lang w:val="lv-LV"/>
        </w:rPr>
        <w:t>2. Saskaņā ar Likuma 9. panta četrpadsmitās daļas nosacījumiem informēt pretendentus par Iepirkumu komisijas lēmuma 1.punktā norādīto 3 (triju) darbdienu laikā pēc Iepirkumu komisijas lēmuma pieņemšanas.</w:t>
      </w:r>
    </w:p>
    <w:p w:rsidR="00A05F29" w:rsidRPr="00A05F29" w:rsidRDefault="00A05F29" w:rsidP="00A05F29">
      <w:pPr>
        <w:ind w:right="-283" w:firstLine="709"/>
        <w:jc w:val="both"/>
        <w:rPr>
          <w:lang w:val="lv-LV"/>
        </w:rPr>
      </w:pPr>
      <w:r w:rsidRPr="00A05F29">
        <w:rPr>
          <w:lang w:val="lv-LV"/>
        </w:rPr>
        <w:t>3. Atbilstoši Pārvaldes 2017. gada 12. septembra iekšējiem noteikumiem Nr. 1/16–n.–27 "Iepirkumu organizēšanas kārtība" un ievērojot Likumā noteiktos termiņus līguma noslēgšanai, uzdot Pārvaldes centrālā aparāta Iepirkumu un līgumu daļai koordinēt līguma noslēgšanu ar Iepirkumu komisijas lēmuma 1.punktā minēto pretendentu.</w:t>
      </w:r>
    </w:p>
    <w:p w:rsidR="00A05F29" w:rsidRPr="00A05F29" w:rsidRDefault="00A05F29" w:rsidP="00A05F29">
      <w:pPr>
        <w:ind w:right="-283" w:firstLine="709"/>
        <w:jc w:val="both"/>
        <w:rPr>
          <w:lang w:val="lv-LV"/>
        </w:rPr>
      </w:pPr>
      <w:r w:rsidRPr="00A05F29">
        <w:rPr>
          <w:lang w:val="lv-LV"/>
        </w:rPr>
        <w:t xml:space="preserve">4. Saskaņā ar Likuma </w:t>
      </w:r>
      <w:r w:rsidRPr="00A05F29">
        <w:rPr>
          <w:bCs/>
          <w:lang w:val="lv-LV"/>
        </w:rPr>
        <w:t xml:space="preserve">9.panta septiņpadsmito </w:t>
      </w:r>
      <w:r w:rsidRPr="00A05F29">
        <w:rPr>
          <w:lang w:val="lv-LV"/>
        </w:rPr>
        <w:t xml:space="preserve">daļu 10 (desmit) darbdienu laikā pēc līguma noslēgšanas publicēt informatīvu paziņojumu Iepirkumu uzraudzības biroja tīmekļa vietnē par noslēgto līgumu. </w:t>
      </w:r>
    </w:p>
    <w:p w:rsidR="00593E6C" w:rsidRPr="00593E6C" w:rsidRDefault="00593E6C" w:rsidP="00593E6C">
      <w:pPr>
        <w:tabs>
          <w:tab w:val="num" w:pos="0"/>
          <w:tab w:val="left" w:pos="851"/>
        </w:tabs>
        <w:ind w:right="49" w:firstLine="567"/>
        <w:jc w:val="both"/>
        <w:rPr>
          <w:lang w:val="lv-LV"/>
        </w:rPr>
      </w:pP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A05F29">
      <w:pPr>
        <w:tabs>
          <w:tab w:val="right" w:pos="9639"/>
        </w:tabs>
        <w:spacing w:before="480" w:after="120"/>
        <w:ind w:right="-283"/>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10"/>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D77" w:rsidRDefault="00055D77" w:rsidP="00B67C54">
      <w:r>
        <w:separator/>
      </w:r>
    </w:p>
  </w:endnote>
  <w:endnote w:type="continuationSeparator" w:id="0">
    <w:p w:rsidR="00055D77" w:rsidRDefault="00055D77"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D77" w:rsidRDefault="00055D77" w:rsidP="00B67C54">
      <w:r>
        <w:separator/>
      </w:r>
    </w:p>
  </w:footnote>
  <w:footnote w:type="continuationSeparator" w:id="0">
    <w:p w:rsidR="00055D77" w:rsidRDefault="00055D77"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00064A">
          <w:rPr>
            <w:noProof/>
          </w:rPr>
          <w:t>4</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064A"/>
    <w:rsid w:val="00007239"/>
    <w:rsid w:val="000105FA"/>
    <w:rsid w:val="00012241"/>
    <w:rsid w:val="00026B37"/>
    <w:rsid w:val="000477BE"/>
    <w:rsid w:val="00050E94"/>
    <w:rsid w:val="00054E94"/>
    <w:rsid w:val="00055D77"/>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77072"/>
    <w:rsid w:val="002807BE"/>
    <w:rsid w:val="00292F36"/>
    <w:rsid w:val="00294BD4"/>
    <w:rsid w:val="002979FE"/>
    <w:rsid w:val="002A279C"/>
    <w:rsid w:val="002B4176"/>
    <w:rsid w:val="002B4BE8"/>
    <w:rsid w:val="002D75B0"/>
    <w:rsid w:val="002E5C1C"/>
    <w:rsid w:val="002F6D46"/>
    <w:rsid w:val="00300D45"/>
    <w:rsid w:val="00302EB4"/>
    <w:rsid w:val="0030539E"/>
    <w:rsid w:val="003201B4"/>
    <w:rsid w:val="003356FD"/>
    <w:rsid w:val="00336526"/>
    <w:rsid w:val="003405D0"/>
    <w:rsid w:val="00345836"/>
    <w:rsid w:val="00350BFD"/>
    <w:rsid w:val="003678A1"/>
    <w:rsid w:val="00373266"/>
    <w:rsid w:val="00382447"/>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DCC"/>
    <w:rsid w:val="00451477"/>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4979"/>
    <w:rsid w:val="00536E11"/>
    <w:rsid w:val="005427EB"/>
    <w:rsid w:val="005575FA"/>
    <w:rsid w:val="00557E67"/>
    <w:rsid w:val="00565544"/>
    <w:rsid w:val="00571DBF"/>
    <w:rsid w:val="00593E6C"/>
    <w:rsid w:val="005A46B0"/>
    <w:rsid w:val="005C4B36"/>
    <w:rsid w:val="005D00C1"/>
    <w:rsid w:val="005E474B"/>
    <w:rsid w:val="005E50EA"/>
    <w:rsid w:val="00601233"/>
    <w:rsid w:val="00606A61"/>
    <w:rsid w:val="00613D04"/>
    <w:rsid w:val="00615792"/>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6480B"/>
    <w:rsid w:val="00770C9B"/>
    <w:rsid w:val="00780F93"/>
    <w:rsid w:val="0078666F"/>
    <w:rsid w:val="00793948"/>
    <w:rsid w:val="00793C7E"/>
    <w:rsid w:val="007B1AFA"/>
    <w:rsid w:val="007C4750"/>
    <w:rsid w:val="007C723A"/>
    <w:rsid w:val="007D2783"/>
    <w:rsid w:val="007F3D26"/>
    <w:rsid w:val="007F578D"/>
    <w:rsid w:val="008012A1"/>
    <w:rsid w:val="00806957"/>
    <w:rsid w:val="008078E8"/>
    <w:rsid w:val="00810C00"/>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02F2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05F29"/>
    <w:rsid w:val="00A35BD1"/>
    <w:rsid w:val="00A41332"/>
    <w:rsid w:val="00A46B9D"/>
    <w:rsid w:val="00A559AA"/>
    <w:rsid w:val="00A64C17"/>
    <w:rsid w:val="00A7404E"/>
    <w:rsid w:val="00A7565E"/>
    <w:rsid w:val="00A77E9A"/>
    <w:rsid w:val="00A80FF3"/>
    <w:rsid w:val="00A9552C"/>
    <w:rsid w:val="00A96557"/>
    <w:rsid w:val="00AA08D1"/>
    <w:rsid w:val="00AD7743"/>
    <w:rsid w:val="00AE1D73"/>
    <w:rsid w:val="00AF1248"/>
    <w:rsid w:val="00B052B2"/>
    <w:rsid w:val="00B36E32"/>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322B7"/>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45B7B"/>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rmas.lv/index.php?module=results&amp;srch=adrese:Bab%C4%ABtes+nov.%2C+Salas+pag.%2C+Spu%C5%86ciems%2C+%22Ezeri%22-32&amp;srch_exact=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irmas.lv/index.php?module=results&amp;srch=adrese:Bab%C4%ABtes+nov.%2C+Salas+pag.%2C+Spu%C5%86ciems%2C+%22Ezeri%22-32&amp;srch_exac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551A5-EFDA-448D-B7DC-E8060F576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6878</Words>
  <Characters>3921</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2</cp:revision>
  <cp:lastPrinted>2018-02-08T07:56:00Z</cp:lastPrinted>
  <dcterms:created xsi:type="dcterms:W3CDTF">2018-05-11T07:44:00Z</dcterms:created>
  <dcterms:modified xsi:type="dcterms:W3CDTF">2018-05-11T07:44:00Z</dcterms:modified>
</cp:coreProperties>
</file>