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1436C7" w:rsidRPr="001436C7" w:rsidRDefault="001436C7" w:rsidP="001436C7">
      <w:pPr>
        <w:spacing w:after="0" w:line="240" w:lineRule="auto"/>
        <w:jc w:val="center"/>
        <w:rPr>
          <w:rFonts w:ascii="Times New Roman" w:eastAsia="Times New Roman" w:hAnsi="Times New Roman"/>
          <w:b/>
          <w:noProof w:val="0"/>
          <w:sz w:val="24"/>
          <w:szCs w:val="24"/>
        </w:rPr>
      </w:pPr>
      <w:r w:rsidRPr="001436C7">
        <w:rPr>
          <w:rFonts w:ascii="Times New Roman" w:eastAsia="Times New Roman" w:hAnsi="Times New Roman"/>
          <w:b/>
          <w:noProof w:val="0"/>
          <w:sz w:val="24"/>
          <w:szCs w:val="24"/>
        </w:rPr>
        <w:t>"</w:t>
      </w:r>
      <w:r w:rsidR="008F0AB4" w:rsidRPr="008F0AB4">
        <w:rPr>
          <w:rFonts w:ascii="Times New Roman" w:eastAsia="Times New Roman" w:hAnsi="Times New Roman"/>
          <w:b/>
          <w:noProof w:val="0"/>
          <w:sz w:val="24"/>
          <w:szCs w:val="24"/>
        </w:rPr>
        <w:t>Rūpnieciskās un medicīniskās gāzes iegāde ieslodzījuma vietām</w:t>
      </w:r>
      <w:r w:rsidRPr="001436C7">
        <w:rPr>
          <w:rFonts w:ascii="Times New Roman" w:eastAsia="Times New Roman" w:hAnsi="Times New Roman"/>
          <w:b/>
          <w:noProof w:val="0"/>
          <w:sz w:val="24"/>
          <w:szCs w:val="24"/>
        </w:rPr>
        <w:t>"</w:t>
      </w:r>
    </w:p>
    <w:p w:rsidR="001436C7" w:rsidRPr="001436C7" w:rsidRDefault="001436C7" w:rsidP="001436C7">
      <w:pPr>
        <w:spacing w:after="0" w:line="240" w:lineRule="auto"/>
        <w:ind w:right="-766"/>
        <w:jc w:val="center"/>
        <w:rPr>
          <w:rFonts w:ascii="Times New Roman" w:eastAsia="Times New Roman" w:hAnsi="Times New Roman"/>
          <w:noProof w:val="0"/>
          <w:sz w:val="24"/>
          <w:szCs w:val="24"/>
        </w:rPr>
      </w:pPr>
      <w:r w:rsidRPr="001436C7">
        <w:rPr>
          <w:rFonts w:ascii="Times New Roman" w:eastAsia="Times New Roman" w:hAnsi="Times New Roman"/>
          <w:noProof w:val="0"/>
          <w:sz w:val="24"/>
          <w:szCs w:val="24"/>
        </w:rPr>
        <w:t xml:space="preserve">(iepirkuma identifikācijas numurs IeVP </w:t>
      </w:r>
      <w:r w:rsidR="007D7429" w:rsidRPr="001436C7">
        <w:rPr>
          <w:rFonts w:ascii="Times New Roman" w:eastAsia="Times New Roman" w:hAnsi="Times New Roman"/>
          <w:noProof w:val="0"/>
          <w:sz w:val="24"/>
          <w:szCs w:val="24"/>
        </w:rPr>
        <w:t>201</w:t>
      </w:r>
      <w:r w:rsidR="007D7429">
        <w:rPr>
          <w:rFonts w:ascii="Times New Roman" w:eastAsia="Times New Roman" w:hAnsi="Times New Roman"/>
          <w:noProof w:val="0"/>
          <w:sz w:val="24"/>
          <w:szCs w:val="24"/>
        </w:rPr>
        <w:t>8</w:t>
      </w:r>
      <w:r w:rsidRPr="001436C7">
        <w:rPr>
          <w:rFonts w:ascii="Times New Roman" w:eastAsia="Times New Roman" w:hAnsi="Times New Roman"/>
          <w:noProof w:val="0"/>
          <w:sz w:val="24"/>
          <w:szCs w:val="24"/>
        </w:rPr>
        <w:t>/</w:t>
      </w:r>
      <w:r w:rsidR="008F0AB4">
        <w:rPr>
          <w:rFonts w:ascii="Times New Roman" w:eastAsia="Times New Roman" w:hAnsi="Times New Roman"/>
          <w:noProof w:val="0"/>
          <w:sz w:val="24"/>
          <w:szCs w:val="24"/>
        </w:rPr>
        <w:t>54</w:t>
      </w:r>
      <w:r w:rsidRPr="001436C7">
        <w:rPr>
          <w:rFonts w:ascii="Times New Roman" w:eastAsia="Times New Roman" w:hAnsi="Times New Roman"/>
          <w:noProof w:val="0"/>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007D7429" w:rsidRPr="00223F90">
        <w:rPr>
          <w:rFonts w:ascii="Times New Roman" w:hAnsi="Times New Roman"/>
          <w:sz w:val="24"/>
          <w:szCs w:val="24"/>
        </w:rPr>
        <w:t>201</w:t>
      </w:r>
      <w:r w:rsidR="007D7429">
        <w:rPr>
          <w:rFonts w:ascii="Times New Roman" w:hAnsi="Times New Roman"/>
          <w:sz w:val="24"/>
          <w:szCs w:val="24"/>
        </w:rPr>
        <w:t>8</w:t>
      </w:r>
      <w:r w:rsidR="00D32CF0">
        <w:rPr>
          <w:rFonts w:ascii="Times New Roman" w:hAnsi="Times New Roman"/>
          <w:sz w:val="24"/>
          <w:szCs w:val="24"/>
        </w:rPr>
        <w:t>/</w:t>
      </w:r>
      <w:r w:rsidR="008F0AB4">
        <w:rPr>
          <w:rFonts w:ascii="Times New Roman" w:hAnsi="Times New Roman"/>
          <w:sz w:val="24"/>
          <w:szCs w:val="24"/>
        </w:rPr>
        <w:t>54</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007D7429" w:rsidRPr="00223F90">
        <w:rPr>
          <w:rFonts w:ascii="Times New Roman" w:hAnsi="Times New Roman"/>
          <w:sz w:val="24"/>
          <w:szCs w:val="24"/>
        </w:rPr>
        <w:t>201</w:t>
      </w:r>
      <w:r w:rsidR="007D7429">
        <w:rPr>
          <w:rFonts w:ascii="Times New Roman" w:hAnsi="Times New Roman"/>
          <w:sz w:val="24"/>
          <w:szCs w:val="24"/>
        </w:rPr>
        <w:t>8</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DC1417">
        <w:rPr>
          <w:rFonts w:ascii="Times New Roman" w:hAnsi="Times New Roman"/>
          <w:sz w:val="24"/>
          <w:szCs w:val="24"/>
        </w:rPr>
        <w:t>19. jūlijs</w:t>
      </w:r>
    </w:p>
    <w:p w:rsidR="00EF479B" w:rsidRPr="00223F90" w:rsidRDefault="00EF479B" w:rsidP="00EF479B">
      <w:pPr>
        <w:pStyle w:val="NoSpacing"/>
        <w:jc w:val="both"/>
        <w:rPr>
          <w:rFonts w:ascii="Times New Roman" w:hAnsi="Times New Roman"/>
          <w:sz w:val="24"/>
          <w:szCs w:val="24"/>
        </w:rPr>
      </w:pPr>
    </w:p>
    <w:p w:rsidR="008F0AB4" w:rsidRPr="008F0AB4" w:rsidRDefault="008F0AB4" w:rsidP="008F0AB4">
      <w:pPr>
        <w:spacing w:after="120" w:line="240" w:lineRule="auto"/>
        <w:ind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Ar Ieslodzījuma vietu pārvaldes (turpmāk – Pārvalde) priekšnieka 2018. gada 2. janvāra rīkojumu Nr.1 "Par iepirkumu komisijas izveidošanu" (ar grozījumiem, kas izdarīti ar Pārvaldes priekšnieka 2018. gada 29. jūnija rīkojumu Nr. 128 "Par grozījuma izdarīšanu Ieslodzījuma vietu pārvaldes priekšnieka 2018. gada 2. janvāra rīkojumā Nr.1 "Par iepirkumu komisijas izveidošanu"") izveidotās Pārvaldes iepirkumu komisijas (turpmāk – Komisija) iepirkuma "</w:t>
      </w:r>
      <w:r w:rsidRPr="008F0AB4">
        <w:rPr>
          <w:rFonts w:ascii="Times New Roman" w:eastAsia="Times New Roman" w:hAnsi="Times New Roman"/>
          <w:bCs/>
          <w:noProof w:val="0"/>
          <w:sz w:val="24"/>
          <w:szCs w:val="24"/>
        </w:rPr>
        <w:t xml:space="preserve">Rūpnieciskās un medicīniskās gāzes iegāde ieslodzījuma vietām" </w:t>
      </w:r>
      <w:r w:rsidRPr="008F0AB4">
        <w:rPr>
          <w:rFonts w:ascii="Times New Roman" w:eastAsia="Times New Roman" w:hAnsi="Times New Roman"/>
          <w:noProof w:val="0"/>
          <w:sz w:val="24"/>
          <w:szCs w:val="24"/>
        </w:rPr>
        <w:t>(iepirkuma identifikācijas numurs IeVP 2018/54) (turpmāk – Iepirkums)  sēdē plkst.</w:t>
      </w:r>
      <w:r w:rsidR="00DC1417">
        <w:rPr>
          <w:rFonts w:ascii="Times New Roman" w:eastAsia="Times New Roman" w:hAnsi="Times New Roman"/>
          <w:noProof w:val="0"/>
          <w:sz w:val="24"/>
          <w:szCs w:val="24"/>
        </w:rPr>
        <w:t xml:space="preserve"> 10:00</w:t>
      </w:r>
      <w:r w:rsidRPr="008F0AB4">
        <w:rPr>
          <w:rFonts w:ascii="Times New Roman" w:eastAsia="Times New Roman" w:hAnsi="Times New Roman"/>
          <w:noProof w:val="0"/>
          <w:sz w:val="24"/>
          <w:szCs w:val="24"/>
        </w:rPr>
        <w:t>, Stabu ielā 89, Rīgā, 314.kabinetā, piedalās:</w:t>
      </w:r>
    </w:p>
    <w:p w:rsidR="008F0AB4" w:rsidRPr="008F0AB4" w:rsidRDefault="008F0AB4" w:rsidP="008F0AB4">
      <w:pPr>
        <w:spacing w:after="0" w:line="240" w:lineRule="auto"/>
        <w:jc w:val="both"/>
        <w:rPr>
          <w:rFonts w:ascii="Times New Roman" w:hAnsi="Times New Roman"/>
          <w:sz w:val="24"/>
          <w:szCs w:val="24"/>
        </w:rPr>
      </w:pPr>
      <w:r w:rsidRPr="008F0AB4">
        <w:rPr>
          <w:rFonts w:ascii="Times New Roman" w:hAnsi="Times New Roman"/>
          <w:b/>
          <w:sz w:val="24"/>
          <w:szCs w:val="24"/>
        </w:rPr>
        <w:t xml:space="preserve">Iepirkumu komisijas priekšsēdētāja: </w:t>
      </w:r>
      <w:r w:rsidRPr="008F0AB4">
        <w:rPr>
          <w:rFonts w:ascii="Times New Roman" w:hAnsi="Times New Roman"/>
          <w:sz w:val="24"/>
          <w:szCs w:val="24"/>
        </w:rPr>
        <w:t>Pārvaldes priekšnieka vietniece pulkvežleitnante Tatjana Trocka</w:t>
      </w:r>
    </w:p>
    <w:p w:rsidR="008F0AB4" w:rsidRPr="008F0AB4" w:rsidRDefault="008F0AB4" w:rsidP="008F0AB4">
      <w:pPr>
        <w:spacing w:after="0" w:line="240" w:lineRule="auto"/>
        <w:jc w:val="both"/>
        <w:rPr>
          <w:rFonts w:ascii="Times New Roman" w:hAnsi="Times New Roman"/>
          <w:sz w:val="24"/>
          <w:szCs w:val="24"/>
        </w:rPr>
      </w:pPr>
    </w:p>
    <w:p w:rsidR="008F0AB4" w:rsidRPr="008F0AB4" w:rsidRDefault="008F0AB4" w:rsidP="008F0AB4">
      <w:pPr>
        <w:spacing w:after="0" w:line="240" w:lineRule="auto"/>
        <w:jc w:val="both"/>
        <w:rPr>
          <w:rFonts w:ascii="Times New Roman" w:hAnsi="Times New Roman"/>
          <w:sz w:val="24"/>
          <w:szCs w:val="24"/>
        </w:rPr>
      </w:pPr>
      <w:r w:rsidRPr="008F0AB4">
        <w:rPr>
          <w:rFonts w:ascii="Times New Roman" w:hAnsi="Times New Roman"/>
          <w:b/>
          <w:sz w:val="24"/>
          <w:szCs w:val="24"/>
        </w:rPr>
        <w:t>Iepirkumu komisijas priekšsēdētāja vietniece:</w:t>
      </w:r>
      <w:r w:rsidRPr="008F0AB4">
        <w:rPr>
          <w:rFonts w:ascii="Times New Roman" w:hAnsi="Times New Roman"/>
          <w:sz w:val="24"/>
          <w:szCs w:val="24"/>
        </w:rPr>
        <w:t xml:space="preserve"> Pārvaldes centrālā aparāta Grāmatvedības daļas informācijas uzskaites galvenā speciāliste kapteine Jūlija Baranova;</w:t>
      </w:r>
    </w:p>
    <w:p w:rsidR="008F0AB4" w:rsidRPr="008F0AB4" w:rsidRDefault="008F0AB4" w:rsidP="008F0AB4">
      <w:pPr>
        <w:spacing w:after="0" w:line="240" w:lineRule="auto"/>
        <w:jc w:val="both"/>
        <w:rPr>
          <w:rFonts w:ascii="Times New Roman" w:hAnsi="Times New Roman"/>
          <w:sz w:val="24"/>
          <w:szCs w:val="24"/>
        </w:rPr>
      </w:pPr>
    </w:p>
    <w:p w:rsidR="008F0AB4" w:rsidRPr="008F0AB4" w:rsidRDefault="008F0AB4" w:rsidP="008F0AB4">
      <w:pPr>
        <w:spacing w:after="0" w:line="240" w:lineRule="auto"/>
        <w:jc w:val="both"/>
        <w:rPr>
          <w:rFonts w:ascii="Times New Roman" w:hAnsi="Times New Roman"/>
          <w:b/>
          <w:sz w:val="24"/>
          <w:szCs w:val="24"/>
        </w:rPr>
      </w:pPr>
      <w:r w:rsidRPr="008F0AB4">
        <w:rPr>
          <w:rFonts w:ascii="Times New Roman" w:hAnsi="Times New Roman"/>
          <w:b/>
          <w:sz w:val="24"/>
          <w:szCs w:val="24"/>
        </w:rPr>
        <w:t>Iepirkumu komisijas locekļi:</w:t>
      </w:r>
    </w:p>
    <w:p w:rsidR="006A2203" w:rsidRDefault="008F0AB4" w:rsidP="008F0AB4">
      <w:pPr>
        <w:spacing w:after="0" w:line="240" w:lineRule="auto"/>
        <w:ind w:right="-1"/>
        <w:jc w:val="both"/>
        <w:rPr>
          <w:rFonts w:ascii="Times New Roman" w:hAnsi="Times New Roman"/>
          <w:sz w:val="24"/>
          <w:szCs w:val="24"/>
        </w:rPr>
      </w:pPr>
      <w:r w:rsidRPr="008F0AB4">
        <w:rPr>
          <w:rFonts w:ascii="Times New Roman" w:hAnsi="Times New Roman"/>
          <w:sz w:val="24"/>
          <w:szCs w:val="24"/>
        </w:rPr>
        <w:t>Pārvaldes centrālā aparāta Apsardzes daļas vecākais inspektors kapteinis Igors Kafijatullovs</w:t>
      </w:r>
      <w:r w:rsidR="006A2203">
        <w:rPr>
          <w:rFonts w:ascii="Times New Roman" w:hAnsi="Times New Roman"/>
          <w:sz w:val="24"/>
          <w:szCs w:val="24"/>
        </w:rPr>
        <w:t>;</w:t>
      </w:r>
    </w:p>
    <w:p w:rsidR="006A2203" w:rsidRPr="006A2203" w:rsidRDefault="006A2203" w:rsidP="006A2203">
      <w:pPr>
        <w:spacing w:after="0" w:line="240" w:lineRule="auto"/>
        <w:ind w:right="-1"/>
        <w:jc w:val="both"/>
        <w:rPr>
          <w:rFonts w:ascii="Times New Roman" w:hAnsi="Times New Roman"/>
          <w:sz w:val="24"/>
          <w:szCs w:val="24"/>
        </w:rPr>
      </w:pPr>
      <w:r w:rsidRPr="006A2203">
        <w:rPr>
          <w:rFonts w:ascii="Times New Roman" w:hAnsi="Times New Roman"/>
          <w:sz w:val="24"/>
          <w:szCs w:val="24"/>
        </w:rPr>
        <w:t>Pārvaldes centrālā aparāta Uzraudzības daļas galvenais inspektors majors Madars Vekmanis;</w:t>
      </w:r>
    </w:p>
    <w:p w:rsidR="008F0AB4" w:rsidRPr="008F0AB4" w:rsidRDefault="006A2203" w:rsidP="006A2203">
      <w:pPr>
        <w:spacing w:after="0" w:line="240" w:lineRule="auto"/>
        <w:ind w:right="-1"/>
        <w:jc w:val="both"/>
        <w:rPr>
          <w:rFonts w:ascii="Times New Roman" w:hAnsi="Times New Roman"/>
          <w:sz w:val="24"/>
          <w:szCs w:val="24"/>
        </w:rPr>
      </w:pPr>
      <w:r w:rsidRPr="006A2203">
        <w:rPr>
          <w:rFonts w:ascii="Times New Roman" w:hAnsi="Times New Roman"/>
          <w:sz w:val="24"/>
          <w:szCs w:val="24"/>
        </w:rPr>
        <w:t>Pārvaldes centrālā aparāta Tiesvedības galvenā juriste kapteine  Olga Sparāne;</w:t>
      </w:r>
    </w:p>
    <w:p w:rsidR="008F0AB4" w:rsidRPr="008F0AB4" w:rsidRDefault="008F0AB4" w:rsidP="008F0AB4">
      <w:pPr>
        <w:spacing w:after="0" w:line="240" w:lineRule="auto"/>
        <w:ind w:right="-1"/>
        <w:jc w:val="both"/>
        <w:rPr>
          <w:rFonts w:ascii="Times New Roman" w:hAnsi="Times New Roman"/>
          <w:sz w:val="24"/>
          <w:szCs w:val="24"/>
        </w:rPr>
      </w:pPr>
    </w:p>
    <w:p w:rsidR="008F0AB4" w:rsidRPr="008F0AB4" w:rsidRDefault="008F0AB4" w:rsidP="008F0AB4">
      <w:pPr>
        <w:spacing w:after="0" w:line="240" w:lineRule="auto"/>
        <w:ind w:right="-1"/>
        <w:jc w:val="both"/>
        <w:rPr>
          <w:rFonts w:ascii="Times New Roman" w:hAnsi="Times New Roman"/>
          <w:b/>
          <w:sz w:val="24"/>
          <w:szCs w:val="24"/>
        </w:rPr>
      </w:pPr>
      <w:r w:rsidRPr="008F0AB4">
        <w:rPr>
          <w:rFonts w:ascii="Times New Roman" w:hAnsi="Times New Roman"/>
          <w:b/>
          <w:sz w:val="24"/>
          <w:szCs w:val="24"/>
        </w:rPr>
        <w:t>Protokolē:</w:t>
      </w:r>
    </w:p>
    <w:p w:rsidR="0011657D" w:rsidRDefault="008F0AB4" w:rsidP="00EF479B">
      <w:pPr>
        <w:pStyle w:val="NoSpacing"/>
        <w:spacing w:before="120"/>
        <w:jc w:val="both"/>
        <w:rPr>
          <w:rFonts w:ascii="Times New Roman" w:hAnsi="Times New Roman"/>
          <w:sz w:val="24"/>
          <w:szCs w:val="24"/>
        </w:rPr>
      </w:pPr>
      <w:r w:rsidRPr="008F0AB4">
        <w:rPr>
          <w:rFonts w:ascii="Times New Roman" w:hAnsi="Times New Roman"/>
          <w:sz w:val="24"/>
          <w:szCs w:val="24"/>
        </w:rPr>
        <w:t>Pārvaldes centrālā aparāta Iepirkumu un līgumu daļas galvenā speciāliste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sidRPr="009E2833">
        <w:rPr>
          <w:rFonts w:ascii="Times New Roman" w:hAnsi="Times New Roman"/>
          <w:b/>
          <w:noProof w:val="0"/>
          <w:sz w:val="24"/>
          <w:szCs w:val="24"/>
          <w:u w:val="single"/>
        </w:rPr>
        <w:t>:</w:t>
      </w:r>
    </w:p>
    <w:p w:rsidR="00FB220D" w:rsidRDefault="007D7429" w:rsidP="00EF479B">
      <w:pPr>
        <w:spacing w:before="120" w:after="0"/>
        <w:ind w:right="43"/>
        <w:jc w:val="both"/>
        <w:rPr>
          <w:rFonts w:ascii="Times New Roman" w:hAnsi="Times New Roman"/>
          <w:sz w:val="24"/>
          <w:szCs w:val="24"/>
        </w:rPr>
      </w:pPr>
      <w:r w:rsidRPr="007D7429">
        <w:rPr>
          <w:rFonts w:ascii="Times New Roman" w:hAnsi="Times New Roman"/>
          <w:sz w:val="24"/>
          <w:szCs w:val="24"/>
        </w:rPr>
        <w:t>"</w:t>
      </w:r>
      <w:r w:rsidR="008F0AB4" w:rsidRPr="008F0AB4">
        <w:rPr>
          <w:rFonts w:ascii="Times New Roman" w:hAnsi="Times New Roman"/>
          <w:sz w:val="24"/>
          <w:szCs w:val="24"/>
        </w:rPr>
        <w:t>Rūpnieciskās un medicīniskās gāzes iegāde ieslodzījuma vietām</w:t>
      </w:r>
      <w:r w:rsidR="008F0AB4">
        <w:rPr>
          <w:rFonts w:ascii="Times New Roman" w:hAnsi="Times New Roman"/>
          <w:sz w:val="24"/>
          <w:szCs w:val="24"/>
        </w:rPr>
        <w:t>''</w:t>
      </w:r>
    </w:p>
    <w:p w:rsidR="00EF479B" w:rsidRDefault="00EF479B" w:rsidP="00C55A8C">
      <w:pPr>
        <w:tabs>
          <w:tab w:val="left" w:pos="2430"/>
        </w:tabs>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8F0AB4" w:rsidRPr="008F0AB4" w:rsidRDefault="008F0AB4" w:rsidP="008F0AB4">
      <w:pPr>
        <w:spacing w:after="100" w:afterAutospacing="1" w:line="240" w:lineRule="auto"/>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Pirmās daļas vērtēšanas kritērijs:</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7.1.</w:t>
      </w:r>
      <w:r w:rsidRPr="008F0AB4">
        <w:rPr>
          <w:rFonts w:ascii="Times New Roman" w:eastAsia="Times New Roman" w:hAnsi="Times New Roman"/>
          <w:noProof w:val="0"/>
          <w:sz w:val="24"/>
          <w:szCs w:val="24"/>
        </w:rPr>
        <w:t xml:space="preserve"> Piedāvājumu vērtēšana un salīdzināšana notiek saskaņā ar </w:t>
      </w:r>
      <w:r w:rsidR="003766FE" w:rsidRPr="009E2833">
        <w:rPr>
          <w:rFonts w:ascii="Times New Roman" w:hAnsi="Times New Roman"/>
          <w:sz w:val="24"/>
        </w:rPr>
        <w:t xml:space="preserve">Iepirkuma nolikumā (turpmāk – Nolikums) </w:t>
      </w:r>
      <w:r w:rsidRPr="008F0AB4">
        <w:rPr>
          <w:rFonts w:ascii="Times New Roman" w:eastAsia="Times New Roman" w:hAnsi="Times New Roman"/>
          <w:noProof w:val="0"/>
          <w:sz w:val="24"/>
          <w:szCs w:val="24"/>
        </w:rPr>
        <w:t xml:space="preserve"> 7.2. un 7.5.apakšpunktā noteiktajiem saimnieciski visizdevīgākā tehniskai specifikācijai atbilstošā piedāvājuma noteikšanas kritērijiem. Pretendents drīkst iesniegt tikai vienu piedāvājuma variantu par visu apjomu, par jebkuru vienu vai vairākām daļām.</w:t>
      </w:r>
    </w:p>
    <w:p w:rsidR="008F0AB4" w:rsidRPr="008F0AB4" w:rsidRDefault="008F0AB4" w:rsidP="008F0AB4">
      <w:pPr>
        <w:spacing w:before="75" w:after="75" w:line="240" w:lineRule="exact"/>
        <w:ind w:right="-2"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7.2.</w:t>
      </w:r>
      <w:r w:rsidRPr="008F0AB4">
        <w:rPr>
          <w:rFonts w:ascii="Times New Roman" w:eastAsia="Times New Roman" w:hAnsi="Times New Roman"/>
          <w:noProof w:val="0"/>
          <w:sz w:val="24"/>
          <w:szCs w:val="24"/>
        </w:rPr>
        <w:t xml:space="preserve"> Saimnieciski visizdevīgākā piedāvājuma izvēles kritēriji un to skaitliskās vērtības: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6720"/>
        <w:gridCol w:w="1348"/>
      </w:tblGrid>
      <w:tr w:rsidR="008F0AB4" w:rsidRPr="008F0AB4" w:rsidTr="006815B7">
        <w:tc>
          <w:tcPr>
            <w:tcW w:w="1004" w:type="dxa"/>
            <w:tcBorders>
              <w:bottom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Nr.</w:t>
            </w:r>
          </w:p>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p.k.</w:t>
            </w:r>
          </w:p>
        </w:tc>
        <w:tc>
          <w:tcPr>
            <w:tcW w:w="6720" w:type="dxa"/>
            <w:tcBorders>
              <w:bottom w:val="single" w:sz="4" w:space="0" w:color="auto"/>
            </w:tcBorders>
            <w:vAlign w:val="center"/>
          </w:tcPr>
          <w:p w:rsidR="008F0AB4" w:rsidRPr="008F0AB4" w:rsidRDefault="008F0AB4" w:rsidP="008F0AB4">
            <w:pPr>
              <w:tabs>
                <w:tab w:val="left" w:pos="1260"/>
              </w:tabs>
              <w:spacing w:after="120" w:line="240" w:lineRule="exact"/>
              <w:ind w:right="-2" w:firstLine="567"/>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Vērtēšanas kritēriji</w:t>
            </w:r>
          </w:p>
        </w:tc>
        <w:tc>
          <w:tcPr>
            <w:tcW w:w="1348" w:type="dxa"/>
            <w:tcBorders>
              <w:bottom w:val="single" w:sz="4" w:space="0" w:color="auto"/>
            </w:tcBorders>
            <w:vAlign w:val="center"/>
          </w:tcPr>
          <w:p w:rsidR="008F0AB4" w:rsidRPr="008F0AB4" w:rsidRDefault="008F0AB4" w:rsidP="008F0AB4">
            <w:pPr>
              <w:spacing w:after="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Īpatsvars vērtēšanā (punktu skaits)</w:t>
            </w:r>
          </w:p>
        </w:tc>
      </w:tr>
      <w:tr w:rsidR="008F0AB4" w:rsidRPr="008F0AB4" w:rsidTr="006815B7">
        <w:tc>
          <w:tcPr>
            <w:tcW w:w="1004" w:type="dxa"/>
            <w:tcBorders>
              <w:bottom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1.</w:t>
            </w:r>
          </w:p>
        </w:tc>
        <w:tc>
          <w:tcPr>
            <w:tcW w:w="6720" w:type="dxa"/>
            <w:tcBorders>
              <w:bottom w:val="single" w:sz="4" w:space="0" w:color="auto"/>
            </w:tcBorders>
            <w:vAlign w:val="center"/>
          </w:tcPr>
          <w:p w:rsidR="008F0AB4" w:rsidRPr="008F0AB4" w:rsidRDefault="008F0AB4" w:rsidP="00597987">
            <w:pPr>
              <w:tabs>
                <w:tab w:val="left" w:pos="1260"/>
              </w:tabs>
              <w:spacing w:after="120" w:line="240" w:lineRule="exact"/>
              <w:ind w:right="-2"/>
              <w:jc w:val="both"/>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Gāzes cena ar visiem nodokļiem (bez pievienotās vērtības nodokļa)  un atlaidēm</w:t>
            </w:r>
          </w:p>
        </w:tc>
        <w:tc>
          <w:tcPr>
            <w:tcW w:w="1348" w:type="dxa"/>
            <w:tcBorders>
              <w:bottom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70 punkti</w:t>
            </w:r>
          </w:p>
        </w:tc>
      </w:tr>
      <w:tr w:rsidR="008F0AB4" w:rsidRPr="008F0AB4" w:rsidTr="006815B7">
        <w:tc>
          <w:tcPr>
            <w:tcW w:w="1004" w:type="dxa"/>
            <w:tcBorders>
              <w:top w:val="single" w:sz="4" w:space="0" w:color="auto"/>
              <w:left w:val="single" w:sz="4" w:space="0" w:color="auto"/>
              <w:bottom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2.</w:t>
            </w:r>
          </w:p>
        </w:tc>
        <w:tc>
          <w:tcPr>
            <w:tcW w:w="6720" w:type="dxa"/>
            <w:tcBorders>
              <w:top w:val="single" w:sz="4" w:space="0" w:color="auto"/>
              <w:bottom w:val="single" w:sz="4" w:space="0" w:color="auto"/>
            </w:tcBorders>
            <w:vAlign w:val="center"/>
          </w:tcPr>
          <w:p w:rsidR="008F0AB4" w:rsidRPr="008F0AB4" w:rsidRDefault="008F0AB4" w:rsidP="00597987">
            <w:pPr>
              <w:tabs>
                <w:tab w:val="left" w:pos="1260"/>
              </w:tabs>
              <w:spacing w:after="120" w:line="240" w:lineRule="exact"/>
              <w:ind w:right="-2"/>
              <w:jc w:val="both"/>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 xml:space="preserve">Viena gāzes balona nomas cena dienā ar visiem nodokļiem (bez pievienotās vērtības nodokļa)  un atlaidēm </w:t>
            </w:r>
          </w:p>
        </w:tc>
        <w:tc>
          <w:tcPr>
            <w:tcW w:w="1348" w:type="dxa"/>
            <w:tcBorders>
              <w:top w:val="single" w:sz="4" w:space="0" w:color="auto"/>
              <w:bottom w:val="single" w:sz="4" w:space="0" w:color="auto"/>
              <w:right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20 punkti</w:t>
            </w:r>
          </w:p>
        </w:tc>
      </w:tr>
      <w:tr w:rsidR="008F0AB4" w:rsidRPr="008F0AB4" w:rsidTr="006815B7">
        <w:tc>
          <w:tcPr>
            <w:tcW w:w="1004" w:type="dxa"/>
            <w:tcBorders>
              <w:top w:val="single" w:sz="4" w:space="0" w:color="auto"/>
              <w:left w:val="single" w:sz="4" w:space="0" w:color="auto"/>
              <w:bottom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3.</w:t>
            </w:r>
          </w:p>
        </w:tc>
        <w:tc>
          <w:tcPr>
            <w:tcW w:w="6720" w:type="dxa"/>
            <w:tcBorders>
              <w:top w:val="single" w:sz="4" w:space="0" w:color="auto"/>
              <w:bottom w:val="single" w:sz="4" w:space="0" w:color="auto"/>
            </w:tcBorders>
            <w:vAlign w:val="center"/>
          </w:tcPr>
          <w:p w:rsidR="008F0AB4" w:rsidRPr="008F0AB4" w:rsidRDefault="008F0AB4" w:rsidP="008F0AB4">
            <w:pPr>
              <w:tabs>
                <w:tab w:val="left" w:pos="1260"/>
              </w:tabs>
              <w:spacing w:after="120" w:line="240" w:lineRule="exact"/>
              <w:ind w:right="-2"/>
              <w:rPr>
                <w:rFonts w:ascii="Times New Roman" w:eastAsia="Times New Roman" w:hAnsi="Times New Roman"/>
                <w:noProof w:val="0"/>
                <w:sz w:val="24"/>
                <w:szCs w:val="24"/>
                <w:lang w:eastAsia="lv-LV"/>
              </w:rPr>
            </w:pPr>
            <w:r w:rsidRPr="008F0AB4">
              <w:rPr>
                <w:rFonts w:ascii="Times New Roman" w:eastAsia="Times New Roman" w:hAnsi="Times New Roman"/>
                <w:noProof w:val="0"/>
                <w:sz w:val="24"/>
                <w:szCs w:val="24"/>
                <w:lang w:eastAsia="lv-LV"/>
              </w:rPr>
              <w:t>Gāzes piegāde</w:t>
            </w:r>
          </w:p>
        </w:tc>
        <w:tc>
          <w:tcPr>
            <w:tcW w:w="1348" w:type="dxa"/>
            <w:tcBorders>
              <w:top w:val="single" w:sz="4" w:space="0" w:color="auto"/>
              <w:bottom w:val="single" w:sz="4" w:space="0" w:color="auto"/>
              <w:right w:val="single" w:sz="4" w:space="0" w:color="auto"/>
            </w:tcBorders>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10 punkti</w:t>
            </w:r>
          </w:p>
        </w:tc>
      </w:tr>
      <w:tr w:rsidR="008F0AB4" w:rsidRPr="008F0AB4" w:rsidTr="006815B7">
        <w:tc>
          <w:tcPr>
            <w:tcW w:w="1004" w:type="dxa"/>
          </w:tcPr>
          <w:p w:rsidR="008F0AB4" w:rsidRPr="008F0AB4" w:rsidRDefault="008F0AB4" w:rsidP="008F0AB4">
            <w:pPr>
              <w:tabs>
                <w:tab w:val="left" w:pos="1260"/>
              </w:tabs>
              <w:spacing w:after="120" w:line="240" w:lineRule="exact"/>
              <w:ind w:right="-2" w:firstLine="567"/>
              <w:jc w:val="center"/>
              <w:rPr>
                <w:rFonts w:ascii="Times New Roman" w:eastAsia="Times New Roman" w:hAnsi="Times New Roman"/>
                <w:b/>
                <w:bCs/>
                <w:noProof w:val="0"/>
                <w:sz w:val="24"/>
                <w:szCs w:val="24"/>
                <w:lang w:eastAsia="lv-LV"/>
              </w:rPr>
            </w:pPr>
          </w:p>
        </w:tc>
        <w:tc>
          <w:tcPr>
            <w:tcW w:w="6720" w:type="dxa"/>
            <w:vAlign w:val="center"/>
          </w:tcPr>
          <w:p w:rsidR="008F0AB4" w:rsidRPr="008F0AB4" w:rsidRDefault="008F0AB4" w:rsidP="008F0AB4">
            <w:pPr>
              <w:tabs>
                <w:tab w:val="left" w:pos="1260"/>
              </w:tabs>
              <w:spacing w:after="120" w:line="240" w:lineRule="exact"/>
              <w:ind w:right="-2"/>
              <w:rPr>
                <w:rFonts w:ascii="Times New Roman" w:eastAsia="Times New Roman" w:hAnsi="Times New Roman"/>
                <w:b/>
                <w:bCs/>
                <w:noProof w:val="0"/>
                <w:sz w:val="24"/>
                <w:szCs w:val="24"/>
                <w:lang w:eastAsia="lv-LV"/>
              </w:rPr>
            </w:pPr>
            <w:r w:rsidRPr="008F0AB4">
              <w:rPr>
                <w:rFonts w:ascii="Times New Roman" w:eastAsia="Times New Roman" w:hAnsi="Times New Roman"/>
                <w:b/>
                <w:bCs/>
                <w:noProof w:val="0"/>
                <w:sz w:val="24"/>
                <w:szCs w:val="24"/>
                <w:lang w:eastAsia="lv-LV"/>
              </w:rPr>
              <w:t>KOPĀ:</w:t>
            </w:r>
          </w:p>
        </w:tc>
        <w:tc>
          <w:tcPr>
            <w:tcW w:w="1348" w:type="dxa"/>
            <w:vAlign w:val="center"/>
          </w:tcPr>
          <w:p w:rsidR="008F0AB4" w:rsidRPr="008F0AB4" w:rsidRDefault="008F0AB4" w:rsidP="008F0AB4">
            <w:pPr>
              <w:tabs>
                <w:tab w:val="left" w:pos="1260"/>
              </w:tabs>
              <w:spacing w:after="120" w:line="240" w:lineRule="exact"/>
              <w:ind w:right="-2"/>
              <w:jc w:val="center"/>
              <w:rPr>
                <w:rFonts w:ascii="Times New Roman" w:eastAsia="Times New Roman" w:hAnsi="Times New Roman"/>
                <w:b/>
                <w:noProof w:val="0"/>
                <w:sz w:val="24"/>
                <w:szCs w:val="24"/>
                <w:lang w:eastAsia="lv-LV"/>
              </w:rPr>
            </w:pPr>
            <w:r w:rsidRPr="008F0AB4">
              <w:rPr>
                <w:rFonts w:ascii="Times New Roman" w:eastAsia="Times New Roman" w:hAnsi="Times New Roman"/>
                <w:b/>
                <w:noProof w:val="0"/>
                <w:sz w:val="24"/>
                <w:szCs w:val="24"/>
                <w:lang w:eastAsia="lv-LV"/>
              </w:rPr>
              <w:t>100 punkti</w:t>
            </w:r>
          </w:p>
        </w:tc>
      </w:tr>
    </w:tbl>
    <w:p w:rsidR="008F0AB4" w:rsidRPr="008F0AB4" w:rsidRDefault="008F0AB4" w:rsidP="008F0AB4">
      <w:pPr>
        <w:spacing w:after="0" w:line="240" w:lineRule="auto"/>
        <w:ind w:right="-2" w:firstLine="567"/>
        <w:jc w:val="both"/>
        <w:rPr>
          <w:rFonts w:ascii="Times New Roman" w:eastAsia="Times New Roman" w:hAnsi="Times New Roman"/>
          <w:b/>
          <w:noProof w:val="0"/>
          <w:sz w:val="24"/>
          <w:szCs w:val="24"/>
        </w:rPr>
      </w:pP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7.3.</w:t>
      </w:r>
      <w:r w:rsidRPr="008F0AB4">
        <w:rPr>
          <w:rFonts w:ascii="Times New Roman" w:eastAsia="Times New Roman" w:hAnsi="Times New Roman"/>
          <w:noProof w:val="0"/>
          <w:sz w:val="24"/>
          <w:szCs w:val="24"/>
        </w:rPr>
        <w:t xml:space="preserve"> Piedāvājumu vērtē par katru Iepirkuma priekšmeta daļu atsevišķi pēc visiem Nolikumā norādītajiem kritērijiem. Punkti tiek aprēķināti atbilstoši šādam aprakstam un formulām:</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1.vērtēšanas kritērijs</w:t>
      </w:r>
      <w:r w:rsidRPr="008F0AB4">
        <w:rPr>
          <w:rFonts w:ascii="Times New Roman" w:eastAsia="Times New Roman" w:hAnsi="Times New Roman"/>
          <w:noProof w:val="0"/>
          <w:sz w:val="24"/>
          <w:szCs w:val="24"/>
        </w:rPr>
        <w:t xml:space="preserve"> – Gāzes cena ar visiem nodokļiem (bez pievienotās vērtības nodokļa)  un atlaidēm. Cena tiek aprēķināta, summējot kopā visu attiecīgajā daļā iekļauto gāzes cenu.</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Piedāvājums ar viszemāko cenu tiek vērtēts ar maksimāli iespējamo punktu skaitu – 70. Pārējo piedāvājumu cenu punkti tiek aprēķināti pēc formulas:</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70 x (A / B) = C, kur:</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70 – maksimāli iespējamais punktu skaits;</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A – viszemākā piedāvājuma cena;</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B – piedāvājuma cena, kurai aprēķina punktus;</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C – attiecīgā piedāvājuma iegūtie punkti.</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2.vērtēšanas kritērijs</w:t>
      </w:r>
      <w:r w:rsidRPr="008F0AB4">
        <w:rPr>
          <w:rFonts w:ascii="Times New Roman" w:eastAsia="Times New Roman" w:hAnsi="Times New Roman"/>
          <w:noProof w:val="0"/>
          <w:sz w:val="24"/>
          <w:szCs w:val="24"/>
        </w:rPr>
        <w:t xml:space="preserve"> – Viena gāzes balona nomas cena dienā ar visiem nodokļiem (bez pievienotās vērtības nodokļa) un atlaidēm.</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Piedāvājums ar viszemāko cenu tiek vērtēts ar maksimāli iespējamo punktu skaitu – 20. Pārējo piedāvājumu cenu punkti tiek aprēķināti pēc formulas:</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20 x (Y / X) = Z, kur</w:t>
      </w: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20 – maksimāli iespējamais punktu skaits;</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Y – viszemākā piedāvājuma cena (aprēķinam tiks izmantota formula 0.001+ pretendenta cena);</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X – piedāvājuma cena, kurai aprēķina punktus (aprēķinam tiks izmantota formula 0.001+ pretendenta cena);</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Z – attiecīgā piedāvājuma iegūtie punkti.</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 xml:space="preserve">3.vērtēšanas kritērijs – </w:t>
      </w:r>
      <w:r w:rsidRPr="008F0AB4">
        <w:rPr>
          <w:rFonts w:ascii="Times New Roman" w:eastAsia="Times New Roman" w:hAnsi="Times New Roman"/>
          <w:noProof w:val="0"/>
          <w:sz w:val="24"/>
          <w:szCs w:val="24"/>
        </w:rPr>
        <w:t>Gāzes piegāde līdz ieslodzījuma vietai.</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Piedāvājums ar viszemāko piegādes cenu tiek vērtēts ar maksimāli iespējamo punktu skaitu – 10. Pārējo piedāvājumu cenu punkti tiek aprēķināti pēc formulas:</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10 x (R / S) = T, kur</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10 – maksimāli iespējamais punktu skaits;</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R – viszemākā piegādes cena;</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S – piegādes cena piedāvājumā, kuram aprēķina punktus;</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noProof w:val="0"/>
          <w:sz w:val="24"/>
          <w:szCs w:val="24"/>
        </w:rPr>
        <w:t>T – attiecīgā piedāvājumā iegūtie punkti.</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7.4.</w:t>
      </w:r>
      <w:r w:rsidRPr="008F0AB4">
        <w:rPr>
          <w:rFonts w:ascii="Times New Roman" w:eastAsia="Times New Roman" w:hAnsi="Times New Roman"/>
          <w:noProof w:val="0"/>
          <w:sz w:val="24"/>
          <w:szCs w:val="24"/>
        </w:rPr>
        <w:t xml:space="preserve"> Galīgo vērtējumu katram piedāvājumam nosaka kopējā vērtēšanas tabulā, saskaitot katra piedāvājuma iegūtos punktus visos kritērijos (C+Z+T). Maksimāli iespējamais punktu skaits – 100. Veicot aprēķinus, skaitļi tiek noapaļoti līdz simtdaļām.</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r w:rsidRPr="008F0AB4">
        <w:rPr>
          <w:rFonts w:ascii="Times New Roman" w:eastAsia="Times New Roman" w:hAnsi="Times New Roman"/>
          <w:b/>
          <w:noProof w:val="0"/>
          <w:sz w:val="24"/>
          <w:szCs w:val="24"/>
        </w:rPr>
        <w:t>7.5.</w:t>
      </w:r>
      <w:r w:rsidRPr="008F0AB4">
        <w:rPr>
          <w:rFonts w:ascii="Times New Roman" w:eastAsia="Times New Roman" w:hAnsi="Times New Roman"/>
          <w:noProof w:val="0"/>
          <w:sz w:val="24"/>
          <w:szCs w:val="24"/>
        </w:rPr>
        <w:t xml:space="preserve"> Iepirkumu komisija par Iepirkuma uzvarētāju izvēlas pretendentu, kurš iesniedzis saimnieciski visizdevīgāko piedāvājumu par katru gāzes veidu katrā atsevišķā daļā. Par saimnieciski visizdevīgāko piedāvājumu komisija atzīst piedāvājumu, kurš ieguvis vislielāko punktu skaitu (C+Z+T).</w:t>
      </w:r>
    </w:p>
    <w:p w:rsidR="008F0AB4" w:rsidRPr="008F0AB4" w:rsidRDefault="008F0AB4" w:rsidP="008F0AB4">
      <w:pPr>
        <w:spacing w:after="0" w:line="240" w:lineRule="auto"/>
        <w:ind w:right="140" w:firstLine="709"/>
        <w:jc w:val="both"/>
        <w:rPr>
          <w:rFonts w:ascii="Times New Roman" w:eastAsia="Times New Roman" w:hAnsi="Times New Roman"/>
          <w:noProof w:val="0"/>
          <w:sz w:val="24"/>
          <w:szCs w:val="24"/>
        </w:rPr>
      </w:pPr>
    </w:p>
    <w:p w:rsidR="008F0AB4" w:rsidRPr="008F0AB4" w:rsidRDefault="008F0AB4" w:rsidP="009E2833">
      <w:pPr>
        <w:spacing w:after="0" w:line="240" w:lineRule="auto"/>
        <w:ind w:right="140"/>
        <w:jc w:val="both"/>
        <w:rPr>
          <w:rFonts w:ascii="Times New Roman" w:eastAsia="Times New Roman" w:hAnsi="Times New Roman"/>
          <w:b/>
          <w:noProof w:val="0"/>
          <w:sz w:val="24"/>
          <w:szCs w:val="24"/>
        </w:rPr>
      </w:pPr>
      <w:r w:rsidRPr="008F0AB4">
        <w:rPr>
          <w:rFonts w:ascii="Times New Roman" w:eastAsia="Times New Roman" w:hAnsi="Times New Roman"/>
          <w:b/>
          <w:noProof w:val="0"/>
          <w:sz w:val="24"/>
          <w:szCs w:val="24"/>
        </w:rPr>
        <w:t>Otrās daļas vērtēšanas kritērijs:</w:t>
      </w:r>
    </w:p>
    <w:p w:rsidR="008F0AB4" w:rsidRPr="008F0AB4" w:rsidRDefault="008F0AB4" w:rsidP="008F0AB4">
      <w:pPr>
        <w:spacing w:after="0" w:line="240" w:lineRule="auto"/>
        <w:ind w:right="140" w:firstLine="709"/>
        <w:jc w:val="both"/>
        <w:rPr>
          <w:rFonts w:ascii="Times New Roman" w:eastAsia="Times New Roman" w:hAnsi="Times New Roman"/>
          <w:b/>
          <w:noProof w:val="0"/>
          <w:sz w:val="24"/>
          <w:szCs w:val="24"/>
          <w:u w:val="single"/>
        </w:rPr>
      </w:pPr>
    </w:p>
    <w:p w:rsidR="008F0AB4" w:rsidRPr="008F0AB4" w:rsidRDefault="008F0AB4" w:rsidP="008F0AB4">
      <w:pPr>
        <w:spacing w:after="0" w:line="240" w:lineRule="auto"/>
        <w:ind w:right="-2" w:firstLine="709"/>
        <w:jc w:val="both"/>
        <w:rPr>
          <w:rFonts w:ascii="Times New Roman" w:eastAsia="Times New Roman" w:hAnsi="Times New Roman"/>
          <w:noProof w:val="0"/>
          <w:sz w:val="24"/>
          <w:szCs w:val="24"/>
          <w:lang w:eastAsia="lv-LV"/>
        </w:rPr>
      </w:pPr>
      <w:r w:rsidRPr="008F0AB4">
        <w:rPr>
          <w:rFonts w:ascii="Times New Roman" w:eastAsia="Times New Roman" w:hAnsi="Times New Roman"/>
          <w:b/>
          <w:noProof w:val="0"/>
          <w:sz w:val="24"/>
          <w:szCs w:val="24"/>
          <w:lang w:eastAsia="lv-LV"/>
        </w:rPr>
        <w:t>7.6.</w:t>
      </w:r>
      <w:r w:rsidRPr="008F0AB4">
        <w:rPr>
          <w:rFonts w:ascii="Times New Roman" w:eastAsia="Times New Roman" w:hAnsi="Times New Roman"/>
          <w:noProof w:val="0"/>
          <w:sz w:val="24"/>
          <w:szCs w:val="24"/>
          <w:lang w:eastAsia="lv-LV"/>
        </w:rPr>
        <w:t xml:space="preserve"> Par Pretendenta piedāvājuma izvēles kritēriju tiek noteikts piedāvājums, kas atbilst Nolikumā minētajām prasībām un Tehniskajai specifikācijai ar viszemāko preču norādīto vienību (kas ir noteikta Tehniskajā specifikācijā un Finanšu piedāvājuma veidlapā) kopējo nosacīto līgumcenu. Līgumcenā ir jāiekļauj visi nodokļi (izņemot pievienotās vērtības nodokli) un izdevumi, tajā skaitā preču piegādes</w:t>
      </w:r>
      <w:r w:rsidRPr="008F0AB4">
        <w:rPr>
          <w:rFonts w:ascii="Times New Roman" w:eastAsia="Times New Roman" w:hAnsi="Times New Roman"/>
          <w:i/>
          <w:noProof w:val="0"/>
          <w:sz w:val="24"/>
          <w:szCs w:val="24"/>
          <w:lang w:eastAsia="lv-LV"/>
        </w:rPr>
        <w:t xml:space="preserve"> </w:t>
      </w:r>
      <w:r w:rsidRPr="008F0AB4">
        <w:rPr>
          <w:rFonts w:ascii="Times New Roman" w:eastAsia="Times New Roman" w:hAnsi="Times New Roman"/>
          <w:noProof w:val="0"/>
          <w:sz w:val="24"/>
          <w:szCs w:val="24"/>
          <w:lang w:eastAsia="lv-LV"/>
        </w:rPr>
        <w:t>līdz ieslodzījuma vietām, izkraušanas un citas izmaksas.</w:t>
      </w:r>
    </w:p>
    <w:p w:rsidR="00EF479B"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 xml:space="preserve">Pārvaldes priekšnieka vietniece </w:t>
      </w:r>
      <w:r w:rsidR="001436C7">
        <w:rPr>
          <w:rFonts w:ascii="Times New Roman" w:hAnsi="Times New Roman"/>
          <w:sz w:val="24"/>
          <w:szCs w:val="24"/>
        </w:rPr>
        <w:t>pulkvežleitnante</w:t>
      </w:r>
      <w:r w:rsidR="00650B91">
        <w:rPr>
          <w:rFonts w:ascii="Times New Roman" w:hAnsi="Times New Roman"/>
          <w:sz w:val="24"/>
          <w:szCs w:val="24"/>
        </w:rPr>
        <w:t xml:space="preserve"> </w:t>
      </w:r>
      <w:r w:rsidR="00742F2D" w:rsidRPr="0018770B">
        <w:rPr>
          <w:rFonts w:ascii="Times New Roman" w:hAnsi="Times New Roman"/>
          <w:sz w:val="24"/>
          <w:szCs w:val="24"/>
        </w:rPr>
        <w:t>Tatjana Trocka</w:t>
      </w:r>
      <w:r>
        <w:rPr>
          <w:rFonts w:ascii="Times New Roman" w:hAnsi="Times New Roman"/>
          <w:sz w:val="24"/>
          <w:szCs w:val="24"/>
        </w:rPr>
        <w:t>.</w:t>
      </w:r>
    </w:p>
    <w:p w:rsidR="006A2203" w:rsidRPr="005F1A6A" w:rsidRDefault="006A2203" w:rsidP="00E85BA4">
      <w:pPr>
        <w:pStyle w:val="NoSpacing"/>
        <w:spacing w:before="120"/>
        <w:jc w:val="both"/>
        <w:rPr>
          <w:rFonts w:ascii="Times New Roman" w:hAnsi="Times New Roman"/>
          <w:sz w:val="24"/>
          <w:szCs w:val="24"/>
        </w:rPr>
      </w:pP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1436C7">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1436C7">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7D7429" w:rsidRDefault="007D7429" w:rsidP="00065320">
      <w:pPr>
        <w:spacing w:after="0" w:line="240" w:lineRule="auto"/>
        <w:ind w:right="42" w:firstLine="567"/>
        <w:jc w:val="both"/>
        <w:rPr>
          <w:rFonts w:ascii="Times New Roman" w:eastAsia="Times New Roman" w:hAnsi="Times New Roman"/>
          <w:noProof w:val="0"/>
          <w:sz w:val="24"/>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39"/>
        <w:gridCol w:w="2381"/>
        <w:gridCol w:w="1417"/>
      </w:tblGrid>
      <w:tr w:rsidR="008F0AB4" w:rsidRPr="008F0AB4" w:rsidTr="009E2833">
        <w:trPr>
          <w:trHeight w:val="1382"/>
        </w:trPr>
        <w:tc>
          <w:tcPr>
            <w:tcW w:w="2977"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Pretendenta</w:t>
            </w:r>
          </w:p>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nosaukums un reģistrācijas Nr.</w:t>
            </w:r>
          </w:p>
        </w:tc>
        <w:tc>
          <w:tcPr>
            <w:tcW w:w="2439"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Pretendenta juridiskā</w:t>
            </w:r>
          </w:p>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adrese</w:t>
            </w:r>
          </w:p>
        </w:tc>
        <w:tc>
          <w:tcPr>
            <w:tcW w:w="2381"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Pretendenta piedāvājuma saņemšanas datums un laiks</w:t>
            </w:r>
          </w:p>
        </w:tc>
        <w:tc>
          <w:tcPr>
            <w:tcW w:w="1417" w:type="dxa"/>
            <w:vAlign w:val="center"/>
          </w:tcPr>
          <w:p w:rsidR="008F0AB4" w:rsidRPr="008F0AB4" w:rsidRDefault="008F0AB4" w:rsidP="008F0AB4">
            <w:pPr>
              <w:spacing w:after="0" w:line="240" w:lineRule="auto"/>
              <w:ind w:left="-95"/>
              <w:jc w:val="center"/>
              <w:rPr>
                <w:rFonts w:ascii="Times New Roman" w:eastAsia="Times New Roman" w:hAnsi="Times New Roman"/>
                <w:noProof w:val="0"/>
              </w:rPr>
            </w:pPr>
            <w:r w:rsidRPr="008F0AB4">
              <w:rPr>
                <w:rFonts w:ascii="Times New Roman" w:eastAsia="Times New Roman" w:hAnsi="Times New Roman"/>
                <w:noProof w:val="0"/>
              </w:rPr>
              <w:t>Piedāvājuma reģ.Nr.</w:t>
            </w:r>
          </w:p>
        </w:tc>
      </w:tr>
      <w:tr w:rsidR="008F0AB4" w:rsidRPr="008F0AB4" w:rsidTr="009E2833">
        <w:trPr>
          <w:trHeight w:val="723"/>
        </w:trPr>
        <w:tc>
          <w:tcPr>
            <w:tcW w:w="2977" w:type="dxa"/>
            <w:vAlign w:val="center"/>
          </w:tcPr>
          <w:p w:rsidR="003766FE" w:rsidRDefault="008F0AB4" w:rsidP="008F0AB4">
            <w:pPr>
              <w:tabs>
                <w:tab w:val="left" w:pos="3072"/>
                <w:tab w:val="left" w:pos="3119"/>
              </w:tabs>
              <w:spacing w:after="0" w:line="240" w:lineRule="auto"/>
              <w:ind w:right="-47"/>
              <w:jc w:val="center"/>
              <w:rPr>
                <w:rFonts w:ascii="Times New Roman" w:eastAsia="Times New Roman" w:hAnsi="Times New Roman"/>
                <w:bCs/>
                <w:noProof w:val="0"/>
                <w:lang w:eastAsia="lv-LV"/>
              </w:rPr>
            </w:pPr>
            <w:r w:rsidRPr="008F0AB4">
              <w:rPr>
                <w:rFonts w:ascii="Times New Roman" w:eastAsia="Times New Roman" w:hAnsi="Times New Roman"/>
                <w:bCs/>
                <w:noProof w:val="0"/>
                <w:lang w:eastAsia="lv-LV"/>
              </w:rPr>
              <w:t xml:space="preserve">SIA "AGA", </w:t>
            </w:r>
          </w:p>
          <w:p w:rsidR="008F0AB4" w:rsidRPr="008F0AB4" w:rsidRDefault="008F0AB4" w:rsidP="008F0AB4">
            <w:pPr>
              <w:tabs>
                <w:tab w:val="left" w:pos="3072"/>
                <w:tab w:val="left" w:pos="3119"/>
              </w:tabs>
              <w:spacing w:after="0" w:line="240" w:lineRule="auto"/>
              <w:ind w:right="-47"/>
              <w:jc w:val="center"/>
              <w:rPr>
                <w:rFonts w:ascii="Times New Roman" w:eastAsia="Times New Roman" w:hAnsi="Times New Roman"/>
                <w:bCs/>
                <w:noProof w:val="0"/>
                <w:lang w:eastAsia="lv-LV"/>
              </w:rPr>
            </w:pPr>
            <w:r w:rsidRPr="008F0AB4">
              <w:rPr>
                <w:rFonts w:ascii="Times New Roman" w:eastAsia="Times New Roman" w:hAnsi="Times New Roman"/>
                <w:bCs/>
                <w:noProof w:val="0"/>
                <w:lang w:eastAsia="lv-LV"/>
              </w:rPr>
              <w:t>reģistrācijas Nr.</w:t>
            </w:r>
            <w:r w:rsidRPr="008F0AB4">
              <w:rPr>
                <w:rFonts w:ascii="Times New Roman" w:eastAsia="Times New Roman" w:hAnsi="Times New Roman"/>
                <w:noProof w:val="0"/>
                <w:sz w:val="24"/>
                <w:szCs w:val="24"/>
                <w:lang w:val="en-US"/>
              </w:rPr>
              <w:t xml:space="preserve"> </w:t>
            </w:r>
            <w:r w:rsidRPr="008F0AB4">
              <w:rPr>
                <w:rFonts w:ascii="Times New Roman" w:eastAsia="Times New Roman" w:hAnsi="Times New Roman"/>
                <w:bCs/>
                <w:noProof w:val="0"/>
                <w:lang w:eastAsia="lv-LV"/>
              </w:rPr>
              <w:t>40003068518</w:t>
            </w:r>
          </w:p>
        </w:tc>
        <w:tc>
          <w:tcPr>
            <w:tcW w:w="2439" w:type="dxa"/>
            <w:vAlign w:val="center"/>
          </w:tcPr>
          <w:p w:rsidR="008F0AB4" w:rsidRPr="008F0AB4" w:rsidRDefault="008F0AB4" w:rsidP="008F0AB4">
            <w:pPr>
              <w:spacing w:after="0" w:line="240" w:lineRule="auto"/>
              <w:jc w:val="center"/>
              <w:rPr>
                <w:rFonts w:ascii="Times New Roman" w:eastAsia="Times New Roman" w:hAnsi="Times New Roman"/>
                <w:bCs/>
                <w:noProof w:val="0"/>
              </w:rPr>
            </w:pPr>
            <w:r w:rsidRPr="008F0AB4">
              <w:rPr>
                <w:rFonts w:ascii="Times New Roman" w:eastAsia="Times New Roman" w:hAnsi="Times New Roman"/>
                <w:bCs/>
                <w:noProof w:val="0"/>
              </w:rPr>
              <w:t>Katrīnas iela 5, Rīga, LV-1045,</w:t>
            </w:r>
          </w:p>
        </w:tc>
        <w:tc>
          <w:tcPr>
            <w:tcW w:w="2381"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2018. gada  14. jūnijā, plkst.14:30</w:t>
            </w:r>
          </w:p>
        </w:tc>
        <w:tc>
          <w:tcPr>
            <w:tcW w:w="1417"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6841</w:t>
            </w:r>
          </w:p>
        </w:tc>
      </w:tr>
      <w:tr w:rsidR="008F0AB4" w:rsidRPr="008F0AB4" w:rsidTr="009E2833">
        <w:trPr>
          <w:trHeight w:val="723"/>
        </w:trPr>
        <w:tc>
          <w:tcPr>
            <w:tcW w:w="2977" w:type="dxa"/>
            <w:vAlign w:val="center"/>
          </w:tcPr>
          <w:p w:rsidR="008F0AB4" w:rsidRPr="008F0AB4" w:rsidRDefault="008F0AB4" w:rsidP="008F0AB4">
            <w:pPr>
              <w:tabs>
                <w:tab w:val="left" w:pos="3072"/>
                <w:tab w:val="left" w:pos="3119"/>
              </w:tabs>
              <w:spacing w:after="0" w:line="240" w:lineRule="auto"/>
              <w:ind w:right="-47"/>
              <w:jc w:val="center"/>
              <w:rPr>
                <w:rFonts w:ascii="Times New Roman" w:eastAsia="Times New Roman" w:hAnsi="Times New Roman"/>
                <w:bCs/>
                <w:noProof w:val="0"/>
                <w:lang w:eastAsia="lv-LV"/>
              </w:rPr>
            </w:pPr>
            <w:r w:rsidRPr="008F0AB4">
              <w:rPr>
                <w:rFonts w:ascii="Times New Roman" w:eastAsia="Times New Roman" w:hAnsi="Times New Roman"/>
                <w:bCs/>
                <w:noProof w:val="0"/>
                <w:lang w:eastAsia="lv-LV"/>
              </w:rPr>
              <w:t>SIA "GASCHEMA", reģistrācijas Nr.</w:t>
            </w:r>
            <w:r w:rsidRPr="008F0AB4">
              <w:rPr>
                <w:rFonts w:ascii="Times New Roman" w:eastAsia="Times New Roman" w:hAnsi="Times New Roman"/>
                <w:noProof w:val="0"/>
                <w:sz w:val="24"/>
                <w:szCs w:val="24"/>
                <w:lang w:val="en-US"/>
              </w:rPr>
              <w:t xml:space="preserve"> </w:t>
            </w:r>
            <w:r w:rsidRPr="008F0AB4">
              <w:rPr>
                <w:rFonts w:ascii="Times New Roman" w:eastAsia="Times New Roman" w:hAnsi="Times New Roman"/>
                <w:noProof w:val="0"/>
                <w:lang w:val="en-US"/>
              </w:rPr>
              <w:t>44603001515</w:t>
            </w:r>
          </w:p>
        </w:tc>
        <w:tc>
          <w:tcPr>
            <w:tcW w:w="2439" w:type="dxa"/>
            <w:vAlign w:val="center"/>
          </w:tcPr>
          <w:p w:rsidR="008F0AB4" w:rsidRPr="008F0AB4" w:rsidRDefault="008F0AB4" w:rsidP="008F0AB4">
            <w:pPr>
              <w:spacing w:after="0" w:line="240" w:lineRule="auto"/>
              <w:jc w:val="center"/>
              <w:rPr>
                <w:rFonts w:ascii="Times New Roman" w:eastAsia="Times New Roman" w:hAnsi="Times New Roman"/>
                <w:bCs/>
                <w:noProof w:val="0"/>
              </w:rPr>
            </w:pPr>
            <w:r w:rsidRPr="008F0AB4">
              <w:rPr>
                <w:rFonts w:ascii="Times New Roman" w:eastAsia="Times New Roman" w:hAnsi="Times New Roman"/>
                <w:noProof w:val="0"/>
              </w:rPr>
              <w:t>Dzelzavas iela 120A, Rīga,</w:t>
            </w:r>
            <w:r w:rsidRPr="008F0AB4" w:rsidDel="008F72FC">
              <w:rPr>
                <w:rFonts w:ascii="Times New Roman" w:eastAsia="Times New Roman" w:hAnsi="Times New Roman"/>
                <w:noProof w:val="0"/>
              </w:rPr>
              <w:t xml:space="preserve"> </w:t>
            </w:r>
            <w:r w:rsidRPr="008F0AB4">
              <w:rPr>
                <w:rFonts w:ascii="Times New Roman" w:eastAsia="Times New Roman" w:hAnsi="Times New Roman"/>
                <w:bCs/>
                <w:noProof w:val="0"/>
              </w:rPr>
              <w:t>LV-1021</w:t>
            </w:r>
          </w:p>
        </w:tc>
        <w:tc>
          <w:tcPr>
            <w:tcW w:w="2381"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2018. gada 20.jūnijs, plkst.09:54</w:t>
            </w:r>
          </w:p>
        </w:tc>
        <w:tc>
          <w:tcPr>
            <w:tcW w:w="1417" w:type="dxa"/>
            <w:vAlign w:val="center"/>
          </w:tcPr>
          <w:p w:rsidR="008F0AB4" w:rsidRPr="008F0AB4" w:rsidRDefault="008F0AB4" w:rsidP="008F0AB4">
            <w:pPr>
              <w:spacing w:after="0" w:line="240" w:lineRule="auto"/>
              <w:jc w:val="center"/>
              <w:rPr>
                <w:rFonts w:ascii="Times New Roman" w:eastAsia="Times New Roman" w:hAnsi="Times New Roman"/>
                <w:noProof w:val="0"/>
              </w:rPr>
            </w:pPr>
            <w:r w:rsidRPr="008F0AB4">
              <w:rPr>
                <w:rFonts w:ascii="Times New Roman" w:eastAsia="Times New Roman" w:hAnsi="Times New Roman"/>
                <w:noProof w:val="0"/>
              </w:rPr>
              <w:t>7050</w:t>
            </w:r>
          </w:p>
        </w:tc>
      </w:tr>
    </w:tbl>
    <w:p w:rsidR="009755D7" w:rsidRDefault="009755D7" w:rsidP="00D32CF0">
      <w:pPr>
        <w:pStyle w:val="BodyTextIndent2"/>
        <w:spacing w:before="120" w:after="120"/>
        <w:ind w:right="-1" w:firstLine="567"/>
        <w:rPr>
          <w:sz w:val="24"/>
        </w:rPr>
      </w:pPr>
    </w:p>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Nolikum</w:t>
      </w:r>
      <w:r w:rsidR="006423CD">
        <w:rPr>
          <w:sz w:val="24"/>
          <w:lang w:val="lv-LV"/>
        </w:rPr>
        <w:t>ā</w:t>
      </w:r>
      <w:r w:rsidRPr="003152E7">
        <w:rPr>
          <w:sz w:val="24"/>
        </w:rPr>
        <w:t xml:space="preserve"> n</w:t>
      </w:r>
      <w:r>
        <w:rPr>
          <w:sz w:val="24"/>
        </w:rPr>
        <w:t>oteiktajām p</w:t>
      </w:r>
      <w:r w:rsidRPr="003152E7">
        <w:rPr>
          <w:sz w:val="24"/>
        </w:rPr>
        <w:t>retendenta kvalifikācijas prasībām un iesniedzamajiem dokumentiem:</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116"/>
      </w:tblGrid>
      <w:tr w:rsidR="00D32CF0" w:rsidRPr="000848CF" w:rsidTr="009755D7">
        <w:trPr>
          <w:trHeight w:val="486"/>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Nolikuma apakšpunkta Nr.</w:t>
            </w:r>
          </w:p>
        </w:tc>
        <w:tc>
          <w:tcPr>
            <w:tcW w:w="7116"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 xml:space="preserve">Nolikuma prasības </w:t>
            </w:r>
          </w:p>
        </w:tc>
      </w:tr>
      <w:tr w:rsidR="00D32CF0" w:rsidRPr="000848CF" w:rsidTr="009755D7">
        <w:trPr>
          <w:trHeight w:val="217"/>
        </w:trPr>
        <w:tc>
          <w:tcPr>
            <w:tcW w:w="1985" w:type="dxa"/>
            <w:vAlign w:val="center"/>
          </w:tcPr>
          <w:p w:rsidR="00D32CF0" w:rsidRPr="009D657B" w:rsidRDefault="00D32CF0" w:rsidP="008A28EF">
            <w:pPr>
              <w:spacing w:after="0" w:line="240" w:lineRule="auto"/>
              <w:jc w:val="center"/>
              <w:rPr>
                <w:rFonts w:ascii="Times New Roman" w:hAnsi="Times New Roman"/>
                <w:noProof w:val="0"/>
                <w:sz w:val="20"/>
                <w:szCs w:val="20"/>
              </w:rPr>
            </w:pPr>
            <w:r w:rsidRPr="009D657B">
              <w:rPr>
                <w:rFonts w:ascii="Times New Roman" w:hAnsi="Times New Roman"/>
                <w:noProof w:val="0"/>
                <w:sz w:val="20"/>
                <w:szCs w:val="20"/>
              </w:rPr>
              <w:t>4.1.1.</w:t>
            </w:r>
          </w:p>
        </w:tc>
        <w:tc>
          <w:tcPr>
            <w:tcW w:w="7116" w:type="dxa"/>
            <w:vAlign w:val="center"/>
          </w:tcPr>
          <w:p w:rsidR="00D32CF0" w:rsidRPr="00A16B08" w:rsidRDefault="00A16B08" w:rsidP="00D32CF0">
            <w:pPr>
              <w:spacing w:after="0" w:line="240" w:lineRule="auto"/>
              <w:jc w:val="both"/>
              <w:rPr>
                <w:rFonts w:ascii="Times New Roman" w:hAnsi="Times New Roman"/>
                <w:noProof w:val="0"/>
                <w:sz w:val="20"/>
                <w:szCs w:val="20"/>
              </w:rPr>
            </w:pPr>
            <w:r w:rsidRPr="009755D7">
              <w:rPr>
                <w:rFonts w:ascii="Times New Roman" w:eastAsia="Times New Roman" w:hAnsi="Times New Roman"/>
                <w:noProof w:val="0"/>
                <w:sz w:val="20"/>
                <w:szCs w:val="20"/>
                <w:lang w:eastAsia="lv-LV"/>
              </w:rPr>
              <w:t>Ja pretendents iesniedz piedāvājumu par Nolikuma otru daļu "Medicīniskā skābekļa iegāde, piegāde un balonu noma Olaines cietumam (Latvijas Cietumu slimnīca)", tad nepieciešams iesniegt atbilstošas valsts institūcijas izdotas atļaujas kopiju;</w:t>
            </w:r>
          </w:p>
        </w:tc>
      </w:tr>
      <w:tr w:rsidR="00D32CF0" w:rsidRPr="000848CF" w:rsidTr="009755D7">
        <w:trPr>
          <w:trHeight w:val="60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4.1.2.</w:t>
            </w:r>
          </w:p>
        </w:tc>
        <w:tc>
          <w:tcPr>
            <w:tcW w:w="7116" w:type="dxa"/>
            <w:vAlign w:val="center"/>
          </w:tcPr>
          <w:p w:rsidR="00D32CF0" w:rsidRPr="0004378B" w:rsidRDefault="00A16B08" w:rsidP="008A28EF">
            <w:pPr>
              <w:spacing w:after="0" w:line="240" w:lineRule="auto"/>
              <w:jc w:val="both"/>
              <w:rPr>
                <w:rFonts w:ascii="Times New Roman" w:hAnsi="Times New Roman"/>
                <w:sz w:val="20"/>
                <w:szCs w:val="20"/>
              </w:rPr>
            </w:pPr>
            <w:r w:rsidRPr="00A16B08">
              <w:rPr>
                <w:rFonts w:ascii="Times New Roman" w:hAnsi="Times New Roman"/>
                <w:sz w:val="20"/>
                <w:szCs w:val="20"/>
              </w:rPr>
              <w:t>Gāzes atbilstības sertifikātu kopijas</w:t>
            </w:r>
            <w:r w:rsidR="006423CD">
              <w:rPr>
                <w:rFonts w:ascii="Times New Roman" w:hAnsi="Times New Roman"/>
                <w:sz w:val="20"/>
                <w:szCs w:val="20"/>
              </w:rPr>
              <w:t>;</w:t>
            </w:r>
          </w:p>
        </w:tc>
      </w:tr>
      <w:tr w:rsidR="00D32CF0" w:rsidRPr="000848CF" w:rsidTr="009755D7">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4.1.3.</w:t>
            </w:r>
          </w:p>
        </w:tc>
        <w:tc>
          <w:tcPr>
            <w:tcW w:w="7116" w:type="dxa"/>
            <w:vAlign w:val="center"/>
          </w:tcPr>
          <w:p w:rsidR="00D32CF0" w:rsidRPr="00806EBD" w:rsidRDefault="00A16B08" w:rsidP="008A28EF">
            <w:pPr>
              <w:spacing w:after="0" w:line="240" w:lineRule="auto"/>
              <w:jc w:val="both"/>
              <w:rPr>
                <w:rFonts w:ascii="Times New Roman" w:hAnsi="Times New Roman"/>
                <w:noProof w:val="0"/>
                <w:sz w:val="20"/>
                <w:szCs w:val="20"/>
              </w:rPr>
            </w:pPr>
            <w:r w:rsidRPr="00A16B08">
              <w:rPr>
                <w:rFonts w:ascii="Times New Roman" w:hAnsi="Times New Roman"/>
                <w:noProof w:val="0"/>
                <w:sz w:val="20"/>
                <w:szCs w:val="20"/>
              </w:rPr>
              <w:t>Gāzes uzpildes staciju/apmaiņas punktu skaits Latvijā, saraksts ar to atrašanās vietu adresēm un attālumu no Latvijas ieslodzījumu vietām;</w:t>
            </w:r>
          </w:p>
        </w:tc>
      </w:tr>
      <w:tr w:rsidR="00D32CF0" w:rsidRPr="000848CF" w:rsidTr="009755D7">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4.1.4.</w:t>
            </w:r>
          </w:p>
        </w:tc>
        <w:tc>
          <w:tcPr>
            <w:tcW w:w="7116" w:type="dxa"/>
            <w:vAlign w:val="center"/>
          </w:tcPr>
          <w:p w:rsidR="00D32CF0" w:rsidRPr="0004378B" w:rsidRDefault="00A16B08" w:rsidP="008A28EF">
            <w:pPr>
              <w:pStyle w:val="NoSpacing"/>
              <w:jc w:val="both"/>
              <w:rPr>
                <w:rFonts w:ascii="Times New Roman" w:hAnsi="Times New Roman"/>
                <w:sz w:val="20"/>
                <w:szCs w:val="20"/>
              </w:rPr>
            </w:pPr>
            <w:r w:rsidRPr="00A16B08">
              <w:rPr>
                <w:rFonts w:ascii="Times New Roman" w:hAnsi="Times New Roman"/>
                <w:sz w:val="20"/>
                <w:szCs w:val="20"/>
              </w:rPr>
              <w:t>Apliecinājums,  kas atbilst Nolikuma  3.pielikumā norādītajam;</w:t>
            </w:r>
          </w:p>
        </w:tc>
      </w:tr>
      <w:tr w:rsidR="00D32CF0" w:rsidRPr="000848CF" w:rsidTr="009755D7">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4.1.5.</w:t>
            </w:r>
          </w:p>
        </w:tc>
        <w:tc>
          <w:tcPr>
            <w:tcW w:w="7116" w:type="dxa"/>
            <w:vAlign w:val="center"/>
          </w:tcPr>
          <w:p w:rsidR="00D32CF0" w:rsidRPr="00806EBD" w:rsidRDefault="00A16B08" w:rsidP="008A28EF">
            <w:pPr>
              <w:pStyle w:val="NoSpacing"/>
              <w:jc w:val="both"/>
              <w:rPr>
                <w:rFonts w:ascii="Times New Roman" w:hAnsi="Times New Roman"/>
                <w:sz w:val="20"/>
                <w:szCs w:val="20"/>
              </w:rPr>
            </w:pPr>
            <w:r w:rsidRPr="00A16B08">
              <w:rPr>
                <w:rFonts w:ascii="Times New Roman" w:hAnsi="Times New Roman"/>
                <w:sz w:val="20"/>
                <w:szCs w:val="20"/>
              </w:rPr>
              <w:t>Apliecinājums, ka saskaņā ar  Ministru Kabineta 2011.gada 28.jūnija noteikumiem Nr.500 "Noteikumi par transportējamām spiedieniekārtām", tiks nodrošināta neatbilstošu balonu nomaiņu pret atbilstošiem;</w:t>
            </w:r>
          </w:p>
        </w:tc>
      </w:tr>
      <w:tr w:rsidR="00FD57BE" w:rsidRPr="000848CF" w:rsidTr="009755D7">
        <w:trPr>
          <w:trHeight w:val="420"/>
        </w:trPr>
        <w:tc>
          <w:tcPr>
            <w:tcW w:w="1985" w:type="dxa"/>
            <w:vAlign w:val="center"/>
          </w:tcPr>
          <w:p w:rsidR="00FD57BE" w:rsidRPr="00FD57BE" w:rsidDel="00371B01" w:rsidRDefault="00FD57BE" w:rsidP="008A28EF">
            <w:pPr>
              <w:spacing w:after="0" w:line="240" w:lineRule="auto"/>
              <w:jc w:val="center"/>
              <w:rPr>
                <w:rFonts w:ascii="Times New Roman" w:hAnsi="Times New Roman"/>
                <w:noProof w:val="0"/>
                <w:sz w:val="20"/>
                <w:szCs w:val="20"/>
              </w:rPr>
            </w:pPr>
            <w:r>
              <w:rPr>
                <w:rFonts w:ascii="Times New Roman" w:hAnsi="Times New Roman"/>
                <w:noProof w:val="0"/>
                <w:sz w:val="20"/>
                <w:szCs w:val="20"/>
              </w:rPr>
              <w:t>5.1.</w:t>
            </w:r>
          </w:p>
        </w:tc>
        <w:tc>
          <w:tcPr>
            <w:tcW w:w="7116" w:type="dxa"/>
            <w:vAlign w:val="center"/>
          </w:tcPr>
          <w:p w:rsidR="00FD57BE" w:rsidRPr="00FD57BE" w:rsidRDefault="006423CD" w:rsidP="00DB18B0">
            <w:pPr>
              <w:pStyle w:val="NoSpacing"/>
              <w:jc w:val="both"/>
              <w:rPr>
                <w:rFonts w:ascii="Times New Roman" w:hAnsi="Times New Roman"/>
                <w:noProof w:val="0"/>
                <w:sz w:val="20"/>
                <w:szCs w:val="20"/>
              </w:rPr>
            </w:pPr>
            <w:r>
              <w:rPr>
                <w:rFonts w:ascii="Times New Roman" w:hAnsi="Times New Roman"/>
                <w:noProof w:val="0"/>
                <w:sz w:val="20"/>
                <w:szCs w:val="20"/>
              </w:rPr>
              <w:t>P</w:t>
            </w:r>
            <w:r w:rsidR="00FC326B" w:rsidRPr="00FC326B">
              <w:rPr>
                <w:rFonts w:ascii="Times New Roman" w:hAnsi="Times New Roman"/>
                <w:noProof w:val="0"/>
                <w:sz w:val="20"/>
                <w:szCs w:val="20"/>
              </w:rPr>
              <w:t>retendentam jāiesniedz apliecinājums (gada bilances peļņas un zaudējumu aprēķini vai analogs dokuments no valsts, kurā pretendents ir reģistrēts) par tā vidējo gada apgrozījumu 3 (trīs) iepriekšējo finanšu gadu (2015., 2016. un 2017.gadu) un 2018.gada (līdz piedāvājuma iesniegšanas brīdim) laikā. Pretendenta vidējam gada apgrozījumam norādītajā laikā jābūt vismaz piedāvātās kopējās līgumcenas apmērā</w:t>
            </w:r>
            <w:r>
              <w:rPr>
                <w:rFonts w:ascii="Times New Roman" w:hAnsi="Times New Roman"/>
                <w:noProof w:val="0"/>
                <w:sz w:val="20"/>
                <w:szCs w:val="20"/>
              </w:rPr>
              <w:t>;</w:t>
            </w:r>
          </w:p>
        </w:tc>
      </w:tr>
      <w:tr w:rsidR="00FD57BE" w:rsidRPr="000848CF" w:rsidTr="009755D7">
        <w:trPr>
          <w:trHeight w:val="420"/>
        </w:trPr>
        <w:tc>
          <w:tcPr>
            <w:tcW w:w="1985" w:type="dxa"/>
            <w:vAlign w:val="center"/>
          </w:tcPr>
          <w:p w:rsidR="00FD57BE" w:rsidRPr="00FD57BE" w:rsidDel="00371B01" w:rsidRDefault="00FD57BE" w:rsidP="008A28EF">
            <w:pPr>
              <w:spacing w:after="0" w:line="240" w:lineRule="auto"/>
              <w:jc w:val="center"/>
              <w:rPr>
                <w:rFonts w:ascii="Times New Roman" w:hAnsi="Times New Roman"/>
                <w:noProof w:val="0"/>
                <w:sz w:val="20"/>
                <w:szCs w:val="20"/>
              </w:rPr>
            </w:pPr>
            <w:r>
              <w:rPr>
                <w:rFonts w:ascii="Times New Roman" w:hAnsi="Times New Roman"/>
                <w:noProof w:val="0"/>
                <w:sz w:val="20"/>
                <w:szCs w:val="20"/>
              </w:rPr>
              <w:t>5.2.</w:t>
            </w:r>
          </w:p>
        </w:tc>
        <w:tc>
          <w:tcPr>
            <w:tcW w:w="7116" w:type="dxa"/>
            <w:vAlign w:val="center"/>
          </w:tcPr>
          <w:p w:rsidR="00FD57BE" w:rsidRPr="00FD57BE" w:rsidRDefault="00FC326B" w:rsidP="00DB18B0">
            <w:pPr>
              <w:pStyle w:val="NoSpacing"/>
              <w:jc w:val="both"/>
              <w:rPr>
                <w:rFonts w:ascii="Times New Roman" w:hAnsi="Times New Roman"/>
                <w:noProof w:val="0"/>
                <w:sz w:val="20"/>
                <w:szCs w:val="20"/>
              </w:rPr>
            </w:pPr>
            <w:r w:rsidRPr="00FC326B">
              <w:rPr>
                <w:rFonts w:ascii="Times New Roman" w:hAnsi="Times New Roman"/>
                <w:noProof w:val="0"/>
                <w:sz w:val="20"/>
                <w:szCs w:val="20"/>
              </w:rPr>
              <w:t>Pretendentam, kas attiecīgajā tirgū darbojas mazāk nekā divus kalendāros gadus, jāiesniedz Nolikuma 5.1.apakšpunktā minēto dokumentu tikai par periodu no darbības uzsākšanas brīža (bet vidējam gada apgrozījumam jābūt vismaz piedāvātās kopējās līgumcenas apmērā).</w:t>
            </w:r>
          </w:p>
        </w:tc>
      </w:tr>
    </w:tbl>
    <w:p w:rsidR="009755D7" w:rsidRDefault="009755D7" w:rsidP="00D32CF0">
      <w:pPr>
        <w:spacing w:before="120" w:after="120"/>
        <w:ind w:right="-93" w:firstLine="567"/>
        <w:jc w:val="both"/>
        <w:rPr>
          <w:rFonts w:ascii="Times New Roman" w:hAnsi="Times New Roman"/>
          <w:noProof w:val="0"/>
          <w:sz w:val="24"/>
          <w:szCs w:val="24"/>
        </w:rPr>
      </w:pPr>
    </w:p>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977"/>
        <w:gridCol w:w="2976"/>
      </w:tblGrid>
      <w:tr w:rsidR="00806EBD" w:rsidRPr="00023B33" w:rsidTr="00764F6D">
        <w:tc>
          <w:tcPr>
            <w:tcW w:w="2977" w:type="dxa"/>
            <w:vMerge w:val="restart"/>
            <w:vAlign w:val="center"/>
          </w:tcPr>
          <w:p w:rsidR="00806EBD" w:rsidRPr="00023B33" w:rsidRDefault="00806EBD" w:rsidP="00FD57BE">
            <w:pPr>
              <w:pStyle w:val="NoSpacing"/>
              <w:jc w:val="center"/>
              <w:rPr>
                <w:rFonts w:ascii="Times New Roman" w:hAnsi="Times New Roman"/>
              </w:rPr>
            </w:pPr>
            <w:r w:rsidRPr="00806EBD">
              <w:rPr>
                <w:rFonts w:ascii="Times New Roman" w:hAnsi="Times New Roman"/>
              </w:rPr>
              <w:t>Nolikuma apakšpunkta Nr.</w:t>
            </w:r>
          </w:p>
        </w:tc>
        <w:tc>
          <w:tcPr>
            <w:tcW w:w="5953" w:type="dxa"/>
            <w:gridSpan w:val="2"/>
          </w:tcPr>
          <w:p w:rsidR="00806EBD" w:rsidRPr="009E34FC" w:rsidRDefault="00806EBD" w:rsidP="00C33230">
            <w:pPr>
              <w:pStyle w:val="NoSpacing"/>
              <w:jc w:val="center"/>
              <w:rPr>
                <w:rFonts w:ascii="Times New Roman" w:hAnsi="Times New Roman"/>
              </w:rPr>
            </w:pPr>
            <w:r>
              <w:rPr>
                <w:rFonts w:ascii="Times New Roman" w:hAnsi="Times New Roman"/>
              </w:rPr>
              <w:t>Pretendenta nosaukums</w:t>
            </w:r>
          </w:p>
        </w:tc>
      </w:tr>
      <w:tr w:rsidR="00806EBD" w:rsidRPr="00023B33" w:rsidTr="00764F6D">
        <w:tc>
          <w:tcPr>
            <w:tcW w:w="2977" w:type="dxa"/>
            <w:vMerge/>
            <w:vAlign w:val="center"/>
          </w:tcPr>
          <w:p w:rsidR="00806EBD" w:rsidRPr="00023B33" w:rsidRDefault="00806EBD" w:rsidP="00FD57BE">
            <w:pPr>
              <w:pStyle w:val="NoSpacing"/>
              <w:jc w:val="center"/>
              <w:rPr>
                <w:rFonts w:ascii="Times New Roman" w:hAnsi="Times New Roman"/>
              </w:rPr>
            </w:pPr>
          </w:p>
        </w:tc>
        <w:tc>
          <w:tcPr>
            <w:tcW w:w="2977" w:type="dxa"/>
          </w:tcPr>
          <w:p w:rsidR="006423CD" w:rsidRDefault="00FC326B" w:rsidP="00C33230">
            <w:pPr>
              <w:pStyle w:val="NoSpacing"/>
              <w:jc w:val="center"/>
              <w:rPr>
                <w:rFonts w:ascii="Times New Roman" w:hAnsi="Times New Roman"/>
              </w:rPr>
            </w:pPr>
            <w:r w:rsidRPr="00FC326B">
              <w:rPr>
                <w:rFonts w:ascii="Times New Roman" w:hAnsi="Times New Roman"/>
              </w:rPr>
              <w:t xml:space="preserve">SIA "AGA", </w:t>
            </w:r>
          </w:p>
          <w:p w:rsidR="00806EBD" w:rsidRPr="0084016A" w:rsidRDefault="00FC326B" w:rsidP="00C33230">
            <w:pPr>
              <w:pStyle w:val="NoSpacing"/>
              <w:jc w:val="center"/>
              <w:rPr>
                <w:rFonts w:ascii="Times New Roman" w:hAnsi="Times New Roman"/>
              </w:rPr>
            </w:pPr>
            <w:r w:rsidRPr="00FC326B">
              <w:rPr>
                <w:rFonts w:ascii="Times New Roman" w:hAnsi="Times New Roman"/>
              </w:rPr>
              <w:t>reģistrācijas Nr. 40003068518</w:t>
            </w:r>
          </w:p>
        </w:tc>
        <w:tc>
          <w:tcPr>
            <w:tcW w:w="2976" w:type="dxa"/>
          </w:tcPr>
          <w:p w:rsidR="00806EBD" w:rsidRPr="009E34FC" w:rsidRDefault="00FC326B" w:rsidP="00C33230">
            <w:pPr>
              <w:pStyle w:val="NoSpacing"/>
              <w:jc w:val="center"/>
              <w:rPr>
                <w:rFonts w:ascii="Times New Roman" w:hAnsi="Times New Roman"/>
              </w:rPr>
            </w:pPr>
            <w:r w:rsidRPr="00FC326B">
              <w:rPr>
                <w:rFonts w:ascii="Times New Roman" w:hAnsi="Times New Roman"/>
              </w:rPr>
              <w:t>SIA "GASCHEMA", reģistrācijas Nr. 44603001515</w:t>
            </w:r>
          </w:p>
        </w:tc>
      </w:tr>
      <w:tr w:rsidR="006C071E" w:rsidRPr="00023B33" w:rsidTr="00764F6D">
        <w:tc>
          <w:tcPr>
            <w:tcW w:w="2977" w:type="dxa"/>
            <w:vAlign w:val="center"/>
          </w:tcPr>
          <w:p w:rsidR="006C071E" w:rsidRPr="00023B33" w:rsidRDefault="006C071E" w:rsidP="006C071E">
            <w:pPr>
              <w:pStyle w:val="NoSpacing"/>
              <w:jc w:val="center"/>
              <w:rPr>
                <w:rFonts w:ascii="Times New Roman" w:hAnsi="Times New Roman"/>
              </w:rPr>
            </w:pPr>
            <w:r w:rsidRPr="00023B33">
              <w:rPr>
                <w:rFonts w:ascii="Times New Roman" w:hAnsi="Times New Roman"/>
              </w:rPr>
              <w:t>4.1.1.</w:t>
            </w:r>
          </w:p>
        </w:tc>
        <w:tc>
          <w:tcPr>
            <w:tcW w:w="2977" w:type="dxa"/>
          </w:tcPr>
          <w:p w:rsidR="006C071E" w:rsidRPr="00023B33" w:rsidRDefault="006C071E" w:rsidP="006C071E">
            <w:pPr>
              <w:pStyle w:val="NoSpacing"/>
              <w:jc w:val="center"/>
              <w:rPr>
                <w:rFonts w:ascii="Times New Roman" w:hAnsi="Times New Roman"/>
              </w:rPr>
            </w:pPr>
            <w:r w:rsidRPr="0084016A">
              <w:rPr>
                <w:rFonts w:ascii="Times New Roman" w:hAnsi="Times New Roman"/>
              </w:rPr>
              <w:t>Ie</w:t>
            </w:r>
            <w:r>
              <w:rPr>
                <w:rFonts w:ascii="Times New Roman" w:hAnsi="Times New Roman"/>
              </w:rPr>
              <w:t>s</w:t>
            </w:r>
            <w:r w:rsidRPr="0084016A">
              <w:rPr>
                <w:rFonts w:ascii="Times New Roman" w:hAnsi="Times New Roman"/>
              </w:rPr>
              <w:t>niegts /atbilst</w:t>
            </w:r>
          </w:p>
        </w:tc>
        <w:tc>
          <w:tcPr>
            <w:tcW w:w="2976" w:type="dxa"/>
          </w:tcPr>
          <w:p w:rsidR="006C071E" w:rsidRPr="009E34FC" w:rsidRDefault="006C071E" w:rsidP="006C071E">
            <w:pPr>
              <w:pStyle w:val="NoSpacing"/>
              <w:jc w:val="center"/>
              <w:rPr>
                <w:rFonts w:ascii="Times New Roman" w:hAnsi="Times New Roman"/>
              </w:rPr>
            </w:pPr>
            <w:r w:rsidRPr="0084016A">
              <w:rPr>
                <w:rFonts w:ascii="Times New Roman" w:hAnsi="Times New Roman"/>
              </w:rPr>
              <w:t>Ie</w:t>
            </w:r>
            <w:r>
              <w:rPr>
                <w:rFonts w:ascii="Times New Roman" w:hAnsi="Times New Roman"/>
              </w:rPr>
              <w:t>s</w:t>
            </w:r>
            <w:r w:rsidRPr="0084016A">
              <w:rPr>
                <w:rFonts w:ascii="Times New Roman" w:hAnsi="Times New Roman"/>
              </w:rPr>
              <w:t>niegts /atbilst</w:t>
            </w:r>
          </w:p>
        </w:tc>
      </w:tr>
      <w:tr w:rsidR="006C071E" w:rsidRPr="00023B33" w:rsidTr="00764F6D">
        <w:tc>
          <w:tcPr>
            <w:tcW w:w="2977" w:type="dxa"/>
            <w:vAlign w:val="center"/>
          </w:tcPr>
          <w:p w:rsidR="006C071E" w:rsidRPr="00023B33" w:rsidRDefault="006C071E" w:rsidP="006C071E">
            <w:pPr>
              <w:pStyle w:val="NoSpacing"/>
              <w:jc w:val="center"/>
              <w:rPr>
                <w:rFonts w:ascii="Times New Roman" w:hAnsi="Times New Roman"/>
              </w:rPr>
            </w:pPr>
            <w:r w:rsidRPr="00023B33">
              <w:rPr>
                <w:rFonts w:ascii="Times New Roman" w:hAnsi="Times New Roman"/>
              </w:rPr>
              <w:t>4.1.2.</w:t>
            </w:r>
          </w:p>
        </w:tc>
        <w:tc>
          <w:tcPr>
            <w:tcW w:w="2977"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c>
          <w:tcPr>
            <w:tcW w:w="2976" w:type="dxa"/>
          </w:tcPr>
          <w:p w:rsidR="006C071E" w:rsidRPr="009E34FC" w:rsidRDefault="006C071E" w:rsidP="006C071E">
            <w:pPr>
              <w:pStyle w:val="NoSpacing"/>
              <w:jc w:val="center"/>
              <w:rPr>
                <w:rFonts w:ascii="Times New Roman" w:hAnsi="Times New Roman"/>
              </w:rPr>
            </w:pPr>
            <w:r w:rsidRPr="006C071E">
              <w:rPr>
                <w:rFonts w:ascii="Times New Roman" w:hAnsi="Times New Roman"/>
              </w:rPr>
              <w:t>Iesniegts /atbilst</w:t>
            </w:r>
          </w:p>
        </w:tc>
      </w:tr>
      <w:tr w:rsidR="006C071E" w:rsidRPr="00023B33" w:rsidTr="00764F6D">
        <w:tc>
          <w:tcPr>
            <w:tcW w:w="2977" w:type="dxa"/>
            <w:vAlign w:val="center"/>
          </w:tcPr>
          <w:p w:rsidR="006C071E" w:rsidRPr="00023B33" w:rsidRDefault="006C071E" w:rsidP="006C071E">
            <w:pPr>
              <w:pStyle w:val="NoSpacing"/>
              <w:jc w:val="center"/>
              <w:rPr>
                <w:rFonts w:ascii="Times New Roman" w:hAnsi="Times New Roman"/>
              </w:rPr>
            </w:pPr>
            <w:r w:rsidRPr="00023B33">
              <w:rPr>
                <w:rFonts w:ascii="Times New Roman" w:hAnsi="Times New Roman"/>
              </w:rPr>
              <w:t>4.1.3.</w:t>
            </w:r>
          </w:p>
        </w:tc>
        <w:tc>
          <w:tcPr>
            <w:tcW w:w="2977"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c>
          <w:tcPr>
            <w:tcW w:w="2976"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r>
      <w:tr w:rsidR="006C071E" w:rsidRPr="00023B33" w:rsidTr="00764F6D">
        <w:tc>
          <w:tcPr>
            <w:tcW w:w="2977" w:type="dxa"/>
            <w:vAlign w:val="center"/>
          </w:tcPr>
          <w:p w:rsidR="006C071E" w:rsidRPr="00023B33" w:rsidRDefault="006C071E" w:rsidP="006C071E">
            <w:pPr>
              <w:pStyle w:val="NoSpacing"/>
              <w:jc w:val="center"/>
              <w:rPr>
                <w:rFonts w:ascii="Times New Roman" w:hAnsi="Times New Roman"/>
              </w:rPr>
            </w:pPr>
            <w:r w:rsidRPr="00023B33">
              <w:rPr>
                <w:rFonts w:ascii="Times New Roman" w:hAnsi="Times New Roman"/>
              </w:rPr>
              <w:t>4.1.4.</w:t>
            </w:r>
          </w:p>
        </w:tc>
        <w:tc>
          <w:tcPr>
            <w:tcW w:w="2977" w:type="dxa"/>
          </w:tcPr>
          <w:p w:rsidR="006C071E" w:rsidRPr="0004464F" w:rsidRDefault="006C071E" w:rsidP="006C071E">
            <w:pPr>
              <w:pStyle w:val="NoSpacing"/>
              <w:jc w:val="center"/>
              <w:rPr>
                <w:rFonts w:ascii="Times New Roman" w:hAnsi="Times New Roman"/>
              </w:rPr>
            </w:pPr>
            <w:r w:rsidRPr="006C071E">
              <w:rPr>
                <w:rFonts w:ascii="Times New Roman" w:hAnsi="Times New Roman"/>
              </w:rPr>
              <w:t>Iesniegts /atbilst</w:t>
            </w:r>
          </w:p>
        </w:tc>
        <w:tc>
          <w:tcPr>
            <w:tcW w:w="2976"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r>
      <w:tr w:rsidR="006C071E" w:rsidRPr="00023B33" w:rsidTr="00764F6D">
        <w:tc>
          <w:tcPr>
            <w:tcW w:w="2977" w:type="dxa"/>
            <w:vAlign w:val="center"/>
          </w:tcPr>
          <w:p w:rsidR="006C071E" w:rsidRPr="00023B33" w:rsidRDefault="006C071E" w:rsidP="006C071E">
            <w:pPr>
              <w:pStyle w:val="NoSpacing"/>
              <w:jc w:val="center"/>
              <w:rPr>
                <w:rFonts w:ascii="Times New Roman" w:hAnsi="Times New Roman"/>
              </w:rPr>
            </w:pPr>
            <w:r w:rsidRPr="00023B33">
              <w:rPr>
                <w:rFonts w:ascii="Times New Roman" w:hAnsi="Times New Roman"/>
              </w:rPr>
              <w:t>4.1.5.</w:t>
            </w:r>
          </w:p>
        </w:tc>
        <w:tc>
          <w:tcPr>
            <w:tcW w:w="2977" w:type="dxa"/>
          </w:tcPr>
          <w:p w:rsidR="006C071E" w:rsidRPr="0004464F" w:rsidRDefault="006C071E" w:rsidP="006C071E">
            <w:pPr>
              <w:pStyle w:val="NoSpacing"/>
              <w:jc w:val="center"/>
              <w:rPr>
                <w:rFonts w:ascii="Times New Roman" w:hAnsi="Times New Roman"/>
              </w:rPr>
            </w:pPr>
            <w:r w:rsidRPr="006C071E">
              <w:rPr>
                <w:rFonts w:ascii="Times New Roman" w:hAnsi="Times New Roman"/>
              </w:rPr>
              <w:t>Iesniegts /atbilst</w:t>
            </w:r>
          </w:p>
        </w:tc>
        <w:tc>
          <w:tcPr>
            <w:tcW w:w="2976"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r>
      <w:tr w:rsidR="006C071E" w:rsidRPr="00023B33" w:rsidTr="00764F6D">
        <w:trPr>
          <w:trHeight w:val="214"/>
        </w:trPr>
        <w:tc>
          <w:tcPr>
            <w:tcW w:w="2977" w:type="dxa"/>
            <w:vAlign w:val="center"/>
          </w:tcPr>
          <w:p w:rsidR="006C071E" w:rsidRPr="00023B33" w:rsidRDefault="006C071E" w:rsidP="006C071E">
            <w:pPr>
              <w:pStyle w:val="NoSpacing"/>
              <w:jc w:val="center"/>
              <w:rPr>
                <w:rFonts w:ascii="Times New Roman" w:hAnsi="Times New Roman"/>
                <w:noProof w:val="0"/>
              </w:rPr>
            </w:pPr>
            <w:r w:rsidRPr="00023B33">
              <w:rPr>
                <w:rFonts w:ascii="Times New Roman" w:hAnsi="Times New Roman"/>
                <w:noProof w:val="0"/>
              </w:rPr>
              <w:t>5.1.</w:t>
            </w:r>
          </w:p>
        </w:tc>
        <w:tc>
          <w:tcPr>
            <w:tcW w:w="2977" w:type="dxa"/>
          </w:tcPr>
          <w:p w:rsidR="006C071E" w:rsidRPr="0004464F" w:rsidRDefault="006C071E" w:rsidP="006C071E">
            <w:pPr>
              <w:pStyle w:val="NoSpacing"/>
              <w:jc w:val="center"/>
              <w:rPr>
                <w:rFonts w:ascii="Times New Roman" w:hAnsi="Times New Roman"/>
              </w:rPr>
            </w:pPr>
            <w:r w:rsidRPr="006C071E">
              <w:rPr>
                <w:rFonts w:ascii="Times New Roman" w:hAnsi="Times New Roman"/>
              </w:rPr>
              <w:t>Iesniegts /atbilst</w:t>
            </w:r>
          </w:p>
        </w:tc>
        <w:tc>
          <w:tcPr>
            <w:tcW w:w="2976" w:type="dxa"/>
          </w:tcPr>
          <w:p w:rsidR="006C071E" w:rsidRPr="00023B33" w:rsidRDefault="006C071E" w:rsidP="006C071E">
            <w:pPr>
              <w:pStyle w:val="NoSpacing"/>
              <w:jc w:val="center"/>
              <w:rPr>
                <w:rFonts w:ascii="Times New Roman" w:hAnsi="Times New Roman"/>
              </w:rPr>
            </w:pPr>
            <w:r w:rsidRPr="006C071E">
              <w:rPr>
                <w:rFonts w:ascii="Times New Roman" w:hAnsi="Times New Roman"/>
              </w:rPr>
              <w:t>Iesniegts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noProof w:val="0"/>
              </w:rPr>
            </w:pPr>
            <w:r w:rsidRPr="00023B33">
              <w:rPr>
                <w:rFonts w:ascii="Times New Roman" w:hAnsi="Times New Roman"/>
                <w:noProof w:val="0"/>
              </w:rPr>
              <w:t>5.2.</w:t>
            </w:r>
          </w:p>
        </w:tc>
        <w:tc>
          <w:tcPr>
            <w:tcW w:w="2977" w:type="dxa"/>
          </w:tcPr>
          <w:p w:rsidR="00806EBD" w:rsidRPr="0004464F" w:rsidRDefault="006C071E" w:rsidP="000848CF">
            <w:pPr>
              <w:pStyle w:val="NoSpacing"/>
              <w:jc w:val="center"/>
              <w:rPr>
                <w:rFonts w:ascii="Times New Roman" w:hAnsi="Times New Roman"/>
              </w:rPr>
            </w:pPr>
            <w:r>
              <w:rPr>
                <w:rFonts w:ascii="Times New Roman" w:hAnsi="Times New Roman"/>
              </w:rPr>
              <w:t>Nav nepieciešams</w:t>
            </w:r>
          </w:p>
        </w:tc>
        <w:tc>
          <w:tcPr>
            <w:tcW w:w="2976" w:type="dxa"/>
          </w:tcPr>
          <w:p w:rsidR="00806EBD" w:rsidRPr="00023B33" w:rsidRDefault="006C071E" w:rsidP="000848CF">
            <w:pPr>
              <w:pStyle w:val="NoSpacing"/>
              <w:jc w:val="center"/>
              <w:rPr>
                <w:rFonts w:ascii="Times New Roman" w:hAnsi="Times New Roman"/>
              </w:rPr>
            </w:pPr>
            <w:r>
              <w:rPr>
                <w:rFonts w:ascii="Times New Roman" w:hAnsi="Times New Roman"/>
              </w:rPr>
              <w:t>Nav nepieciešams</w:t>
            </w:r>
          </w:p>
        </w:tc>
      </w:tr>
    </w:tbl>
    <w:p w:rsidR="009755D7" w:rsidRDefault="009755D7" w:rsidP="009755D7">
      <w:pPr>
        <w:pStyle w:val="BodyTextIndent2"/>
        <w:spacing w:before="120" w:after="120"/>
        <w:ind w:right="-1" w:firstLine="709"/>
        <w:rPr>
          <w:bCs/>
          <w:sz w:val="24"/>
          <w:lang w:val="lv-LV" w:eastAsia="lv-LV"/>
        </w:rPr>
      </w:pPr>
    </w:p>
    <w:p w:rsidR="008E528F" w:rsidRDefault="008E528F" w:rsidP="009755D7">
      <w:pPr>
        <w:pStyle w:val="BodyTextIndent2"/>
        <w:spacing w:before="120" w:after="120"/>
        <w:ind w:right="-1" w:firstLine="709"/>
        <w:rPr>
          <w:bCs/>
          <w:sz w:val="24"/>
          <w:lang w:val="lv-LV" w:eastAsia="lv-LV"/>
        </w:rPr>
      </w:pPr>
      <w:r>
        <w:rPr>
          <w:bCs/>
          <w:sz w:val="24"/>
          <w:lang w:eastAsia="lv-LV"/>
        </w:rPr>
        <w:t xml:space="preserve">M. Vekmanis informē, ka </w:t>
      </w:r>
      <w:r>
        <w:rPr>
          <w:bCs/>
          <w:sz w:val="24"/>
          <w:lang w:val="lv-LV" w:eastAsia="lv-LV"/>
        </w:rPr>
        <w:t xml:space="preserve">Pretendentu iesniegtie piedāvājumi atbilst </w:t>
      </w:r>
      <w:r w:rsidR="006423CD">
        <w:rPr>
          <w:bCs/>
          <w:sz w:val="24"/>
          <w:lang w:val="lv-LV" w:eastAsia="lv-LV"/>
        </w:rPr>
        <w:t>N</w:t>
      </w:r>
      <w:r>
        <w:rPr>
          <w:bCs/>
          <w:sz w:val="24"/>
          <w:lang w:val="lv-LV" w:eastAsia="lv-LV"/>
        </w:rPr>
        <w:t>olikuma kvalifikācijas prasībām.</w:t>
      </w:r>
    </w:p>
    <w:p w:rsidR="008E528F" w:rsidRPr="008E528F" w:rsidRDefault="008E528F" w:rsidP="009755D7">
      <w:pPr>
        <w:pStyle w:val="BodyTextIndent2"/>
        <w:spacing w:before="120" w:after="120"/>
        <w:ind w:right="-1" w:firstLine="709"/>
        <w:rPr>
          <w:bCs/>
          <w:sz w:val="24"/>
          <w:lang w:val="lv-LV" w:eastAsia="lv-LV"/>
        </w:rPr>
      </w:pPr>
      <w:r>
        <w:rPr>
          <w:bCs/>
          <w:sz w:val="24"/>
          <w:lang w:val="lv-LV" w:eastAsia="lv-LV"/>
        </w:rPr>
        <w:t xml:space="preserve"> Iepirkumu komisija uzsāk Pretendentu vērtēšanu atbilstoši  Nolikuma 1.pielikuma "Tehniskā specifikācija" prasībām.</w:t>
      </w:r>
    </w:p>
    <w:p w:rsidR="008E528F" w:rsidRDefault="008E528F" w:rsidP="00DD6C73">
      <w:pPr>
        <w:pStyle w:val="BodyTextIndent2"/>
        <w:spacing w:before="120" w:after="120"/>
        <w:ind w:right="-1" w:firstLine="709"/>
        <w:rPr>
          <w:bCs/>
          <w:sz w:val="24"/>
          <w:lang w:eastAsia="lv-LV"/>
        </w:rPr>
      </w:pPr>
    </w:p>
    <w:p w:rsidR="006C071E" w:rsidRDefault="006C071E" w:rsidP="006C071E">
      <w:pPr>
        <w:pStyle w:val="BodyTextIndent2"/>
        <w:spacing w:before="120" w:after="120"/>
        <w:ind w:right="-1" w:firstLine="709"/>
        <w:rPr>
          <w:bCs/>
          <w:sz w:val="24"/>
          <w:lang w:eastAsia="lv-LV"/>
        </w:rPr>
      </w:pPr>
      <w:r w:rsidRPr="006C071E">
        <w:rPr>
          <w:bCs/>
          <w:sz w:val="24"/>
          <w:lang w:eastAsia="lv-LV"/>
        </w:rPr>
        <w:t>T.</w:t>
      </w:r>
      <w:r w:rsidR="00B759C7">
        <w:rPr>
          <w:bCs/>
          <w:sz w:val="24"/>
          <w:lang w:val="lv-LV" w:eastAsia="lv-LV"/>
        </w:rPr>
        <w:t xml:space="preserve"> </w:t>
      </w:r>
      <w:r w:rsidRPr="006C071E">
        <w:rPr>
          <w:bCs/>
          <w:sz w:val="24"/>
          <w:lang w:eastAsia="lv-LV"/>
        </w:rPr>
        <w:t xml:space="preserve">Trocka informē, ka atbilstoši </w:t>
      </w:r>
      <w:r w:rsidR="006423CD">
        <w:rPr>
          <w:bCs/>
          <w:sz w:val="24"/>
          <w:lang w:val="lv-LV" w:eastAsia="lv-LV"/>
        </w:rPr>
        <w:t>N</w:t>
      </w:r>
      <w:r w:rsidRPr="006C071E">
        <w:rPr>
          <w:bCs/>
          <w:sz w:val="24"/>
          <w:lang w:eastAsia="lv-LV"/>
        </w:rPr>
        <w:t xml:space="preserve">olikuma 1.1. apakšpunktam Iepirkums tika izsludināts saskaņā ar Publisko iepirkumu likuma (turpmāk – Likums) 9.pantu. Publisko iepirkumu likuma 9.panta pirmā daļa </w:t>
      </w:r>
      <w:r w:rsidR="006423CD" w:rsidRPr="006C071E">
        <w:rPr>
          <w:bCs/>
          <w:sz w:val="24"/>
          <w:lang w:eastAsia="lv-LV"/>
        </w:rPr>
        <w:t>no</w:t>
      </w:r>
      <w:r w:rsidR="006423CD">
        <w:rPr>
          <w:bCs/>
          <w:sz w:val="24"/>
          <w:lang w:val="lv-LV" w:eastAsia="lv-LV"/>
        </w:rPr>
        <w:t>teic</w:t>
      </w:r>
      <w:r w:rsidRPr="006C071E">
        <w:rPr>
          <w:bCs/>
          <w:sz w:val="24"/>
          <w:lang w:eastAsia="lv-LV"/>
        </w:rPr>
        <w:t>, ka, ja "</w:t>
      </w:r>
      <w:r w:rsidR="008E528F" w:rsidRPr="008E528F">
        <w:rPr>
          <w:bCs/>
          <w:sz w:val="24"/>
          <w:lang w:eastAsia="lv-LV"/>
        </w:rPr>
        <w:t xml:space="preserve">publiska piegādes līguma vai publiska pakalpojuma līguma paredzamā līgumcena ir 10 000 </w:t>
      </w:r>
      <w:r w:rsidR="008E528F" w:rsidRPr="009E2833">
        <w:rPr>
          <w:bCs/>
          <w:i/>
          <w:sz w:val="24"/>
          <w:lang w:eastAsia="lv-LV"/>
        </w:rPr>
        <w:t>euro</w:t>
      </w:r>
      <w:r w:rsidR="008E528F" w:rsidRPr="008E528F">
        <w:rPr>
          <w:bCs/>
          <w:sz w:val="24"/>
          <w:lang w:eastAsia="lv-LV"/>
        </w:rPr>
        <w:t xml:space="preserve"> vai lielāka, bet mazāka par 42 000 </w:t>
      </w:r>
      <w:r w:rsidR="008E528F" w:rsidRPr="009E2833">
        <w:rPr>
          <w:bCs/>
          <w:i/>
          <w:sz w:val="24"/>
          <w:lang w:eastAsia="lv-LV"/>
        </w:rPr>
        <w:t>euro</w:t>
      </w:r>
      <w:r w:rsidRPr="006C071E">
        <w:rPr>
          <w:bCs/>
          <w:sz w:val="24"/>
          <w:lang w:eastAsia="lv-LV"/>
        </w:rPr>
        <w:t xml:space="preserve">, pasūtītājs veic iepirkumu šajā pantā noteiktajā kārtībā". </w:t>
      </w:r>
    </w:p>
    <w:p w:rsidR="003E6580" w:rsidRPr="009755D7" w:rsidRDefault="009E2833" w:rsidP="006C071E">
      <w:pPr>
        <w:pStyle w:val="BodyTextIndent2"/>
        <w:spacing w:before="120" w:after="120"/>
        <w:ind w:right="-1" w:firstLine="709"/>
        <w:rPr>
          <w:bCs/>
          <w:sz w:val="24"/>
          <w:lang w:val="lv-LV" w:eastAsia="lv-LV"/>
        </w:rPr>
      </w:pPr>
      <w:r>
        <w:rPr>
          <w:bCs/>
          <w:sz w:val="24"/>
          <w:lang w:val="lv-LV" w:eastAsia="lv-LV"/>
        </w:rPr>
        <w:t xml:space="preserve">Pamatojoties uz </w:t>
      </w:r>
      <w:r w:rsidR="00D841B9">
        <w:rPr>
          <w:bCs/>
          <w:sz w:val="24"/>
          <w:lang w:val="lv-LV" w:eastAsia="lv-LV"/>
        </w:rPr>
        <w:t>Likum</w:t>
      </w:r>
      <w:r w:rsidR="00580A7D">
        <w:rPr>
          <w:bCs/>
          <w:sz w:val="24"/>
          <w:lang w:val="lv-LV" w:eastAsia="lv-LV"/>
        </w:rPr>
        <w:t>a</w:t>
      </w:r>
      <w:r w:rsidR="00D841B9">
        <w:rPr>
          <w:bCs/>
          <w:sz w:val="24"/>
          <w:lang w:val="lv-LV" w:eastAsia="lv-LV"/>
        </w:rPr>
        <w:t xml:space="preserve"> 20. panta </w:t>
      </w:r>
      <w:r>
        <w:rPr>
          <w:bCs/>
          <w:sz w:val="24"/>
          <w:lang w:val="lv-LV" w:eastAsia="lv-LV"/>
        </w:rPr>
        <w:t>pirmo daļu</w:t>
      </w:r>
      <w:r w:rsidR="007E20A5">
        <w:rPr>
          <w:bCs/>
          <w:sz w:val="24"/>
          <w:lang w:val="lv-LV" w:eastAsia="lv-LV"/>
        </w:rPr>
        <w:t xml:space="preserve">, kas </w:t>
      </w:r>
      <w:r w:rsidR="00580A7D">
        <w:rPr>
          <w:bCs/>
          <w:sz w:val="24"/>
          <w:lang w:val="lv-LV" w:eastAsia="lv-LV"/>
        </w:rPr>
        <w:t>noteic</w:t>
      </w:r>
      <w:r w:rsidR="007E20A5">
        <w:rPr>
          <w:bCs/>
          <w:sz w:val="24"/>
          <w:lang w:val="lv-LV" w:eastAsia="lv-LV"/>
        </w:rPr>
        <w:t>, ka "T</w:t>
      </w:r>
      <w:r w:rsidR="007E20A5" w:rsidRPr="007E20A5">
        <w:rPr>
          <w:bCs/>
          <w:sz w:val="24"/>
          <w:lang w:val="lv-LV" w:eastAsia="lv-LV"/>
        </w:rPr>
        <w:t xml:space="preserve">ehniskās specifikācijas tiek ietvertas iepirkuma procedūras dokumentos un nosaka būvdarbiem, pakalpojumiem vai piegādēm izvirzītās prasības. Tehniskās specifikācijas nodrošina </w:t>
      </w:r>
      <w:r w:rsidR="007E20A5" w:rsidRPr="009755D7">
        <w:rPr>
          <w:bCs/>
          <w:sz w:val="24"/>
          <w:u w:val="single"/>
          <w:lang w:val="lv-LV" w:eastAsia="lv-LV"/>
        </w:rPr>
        <w:t>vienādas iespējas visiem pretendentiem un nerada nepamatotus ierobežojumus konkurencei iepirkumā</w:t>
      </w:r>
      <w:r w:rsidR="007E20A5" w:rsidRPr="007E20A5">
        <w:rPr>
          <w:bCs/>
          <w:sz w:val="24"/>
          <w:lang w:val="lv-LV" w:eastAsia="lv-LV"/>
        </w:rPr>
        <w:t>.</w:t>
      </w:r>
      <w:r w:rsidR="007E20A5">
        <w:rPr>
          <w:bCs/>
          <w:sz w:val="24"/>
          <w:lang w:val="lv-LV" w:eastAsia="lv-LV"/>
        </w:rPr>
        <w:t>".</w:t>
      </w:r>
    </w:p>
    <w:p w:rsidR="006C071E" w:rsidRDefault="009E2833" w:rsidP="009E2833">
      <w:pPr>
        <w:pStyle w:val="BodyTextIndent2"/>
        <w:spacing w:before="120" w:after="120"/>
        <w:ind w:firstLine="709"/>
        <w:rPr>
          <w:bCs/>
          <w:sz w:val="24"/>
          <w:lang w:eastAsia="lv-LV"/>
        </w:rPr>
      </w:pPr>
      <w:r>
        <w:rPr>
          <w:bCs/>
          <w:sz w:val="24"/>
          <w:lang w:val="lv-LV" w:eastAsia="lv-LV"/>
        </w:rPr>
        <w:t>I.Kafijatullovs</w:t>
      </w:r>
      <w:r w:rsidR="006C071E" w:rsidRPr="006C071E">
        <w:rPr>
          <w:bCs/>
          <w:sz w:val="24"/>
          <w:lang w:eastAsia="lv-LV"/>
        </w:rPr>
        <w:t xml:space="preserve"> informē, ka atbilstoši </w:t>
      </w:r>
      <w:r w:rsidR="00580A7D">
        <w:rPr>
          <w:bCs/>
          <w:sz w:val="24"/>
          <w:lang w:val="lv-LV" w:eastAsia="lv-LV"/>
        </w:rPr>
        <w:t>N</w:t>
      </w:r>
      <w:r w:rsidR="006C071E" w:rsidRPr="006C071E">
        <w:rPr>
          <w:bCs/>
          <w:sz w:val="24"/>
          <w:lang w:eastAsia="lv-LV"/>
        </w:rPr>
        <w:t xml:space="preserve">olikuma 1.8.2.2. apakšpunktam pretendentiem bija jāiesniedz tehnisko piedāvājumu, </w:t>
      </w:r>
      <w:r w:rsidRPr="006C071E">
        <w:rPr>
          <w:bCs/>
          <w:sz w:val="24"/>
          <w:lang w:eastAsia="lv-LV"/>
        </w:rPr>
        <w:t>k</w:t>
      </w:r>
      <w:r>
        <w:rPr>
          <w:bCs/>
          <w:sz w:val="24"/>
          <w:lang w:val="lv-LV" w:eastAsia="lv-LV"/>
        </w:rPr>
        <w:t>as</w:t>
      </w:r>
      <w:r w:rsidRPr="006C071E">
        <w:rPr>
          <w:bCs/>
          <w:sz w:val="24"/>
          <w:lang w:eastAsia="lv-LV"/>
        </w:rPr>
        <w:t xml:space="preserve"> </w:t>
      </w:r>
      <w:r w:rsidR="006C071E" w:rsidRPr="006C071E">
        <w:rPr>
          <w:bCs/>
          <w:sz w:val="24"/>
          <w:lang w:eastAsia="lv-LV"/>
        </w:rPr>
        <w:t>tiek</w:t>
      </w:r>
      <w:r>
        <w:rPr>
          <w:bCs/>
          <w:sz w:val="24"/>
          <w:lang w:val="lv-LV" w:eastAsia="lv-LV"/>
        </w:rPr>
        <w:t xml:space="preserve"> noformēts </w:t>
      </w:r>
      <w:r w:rsidR="006C071E" w:rsidRPr="006C071E">
        <w:rPr>
          <w:bCs/>
          <w:sz w:val="24"/>
          <w:lang w:eastAsia="lv-LV"/>
        </w:rPr>
        <w:t xml:space="preserve"> </w:t>
      </w:r>
      <w:r>
        <w:rPr>
          <w:bCs/>
          <w:sz w:val="24"/>
          <w:lang w:val="lv-LV" w:eastAsia="lv-LV"/>
        </w:rPr>
        <w:t xml:space="preserve">saskaņā ar </w:t>
      </w:r>
      <w:r w:rsidR="006C071E" w:rsidRPr="006C071E">
        <w:rPr>
          <w:bCs/>
          <w:sz w:val="24"/>
          <w:lang w:eastAsia="lv-LV"/>
        </w:rPr>
        <w:t xml:space="preserve"> </w:t>
      </w:r>
      <w:r w:rsidR="00580A7D">
        <w:rPr>
          <w:bCs/>
          <w:sz w:val="24"/>
          <w:lang w:val="lv-LV" w:eastAsia="lv-LV"/>
        </w:rPr>
        <w:t>N</w:t>
      </w:r>
      <w:r w:rsidR="006C071E" w:rsidRPr="006C071E">
        <w:rPr>
          <w:bCs/>
          <w:sz w:val="24"/>
          <w:lang w:eastAsia="lv-LV"/>
        </w:rPr>
        <w:t xml:space="preserve">olikuma 1.pielikuma "Tehniskā specifikācija" pamata. </w:t>
      </w:r>
    </w:p>
    <w:p w:rsidR="008E528F" w:rsidRPr="008E528F" w:rsidRDefault="008E528F" w:rsidP="009E2833">
      <w:pPr>
        <w:spacing w:before="120" w:after="120" w:line="240" w:lineRule="auto"/>
        <w:ind w:firstLine="709"/>
        <w:jc w:val="both"/>
        <w:rPr>
          <w:rFonts w:ascii="Times New Roman" w:eastAsia="Times New Roman" w:hAnsi="Times New Roman"/>
          <w:noProof w:val="0"/>
          <w:sz w:val="24"/>
          <w:szCs w:val="24"/>
          <w:u w:val="single"/>
        </w:rPr>
      </w:pPr>
      <w:r w:rsidRPr="008E528F">
        <w:rPr>
          <w:rFonts w:ascii="Times New Roman" w:eastAsia="Times New Roman" w:hAnsi="Times New Roman"/>
          <w:noProof w:val="0"/>
          <w:sz w:val="24"/>
          <w:szCs w:val="24"/>
          <w:u w:val="single"/>
        </w:rPr>
        <w:t>Iepirkuma tehniskā specifikācija paredz, ka tiek iegādāti gāzes baloni ar sekojošiem parametriem:</w:t>
      </w:r>
    </w:p>
    <w:p w:rsidR="00636AF5" w:rsidRPr="008E528F" w:rsidRDefault="008E528F" w:rsidP="009E2833">
      <w:pPr>
        <w:spacing w:before="120" w:after="120" w:line="240" w:lineRule="auto"/>
        <w:ind w:firstLine="709"/>
        <w:jc w:val="both"/>
        <w:rPr>
          <w:rFonts w:ascii="Times New Roman" w:eastAsia="Times New Roman" w:hAnsi="Times New Roman"/>
          <w:noProof w:val="0"/>
          <w:sz w:val="24"/>
          <w:szCs w:val="24"/>
          <w:u w:val="single"/>
        </w:rPr>
      </w:pPr>
      <w:r w:rsidRPr="009E2833">
        <w:rPr>
          <w:rFonts w:ascii="Times New Roman" w:eastAsia="Times New Roman" w:hAnsi="Times New Roman"/>
          <w:b/>
          <w:noProof w:val="0"/>
          <w:sz w:val="24"/>
          <w:szCs w:val="24"/>
        </w:rPr>
        <w:t>Pirmā daļa:</w:t>
      </w:r>
      <w:r w:rsidRPr="009E2833">
        <w:rPr>
          <w:rFonts w:ascii="Times New Roman" w:eastAsia="Times New Roman" w:hAnsi="Times New Roman"/>
          <w:noProof w:val="0"/>
          <w:sz w:val="24"/>
          <w:szCs w:val="24"/>
        </w:rPr>
        <w:t xml:space="preserve"> Rūpnieciskās gāzes iegāde, piegāde un balonu noma ieslodzījuma vietām:</w:t>
      </w:r>
    </w:p>
    <w:p w:rsidR="00636AF5" w:rsidRPr="009E2833" w:rsidRDefault="008E528F" w:rsidP="009E2833">
      <w:pPr>
        <w:pStyle w:val="ListParagraph"/>
        <w:numPr>
          <w:ilvl w:val="0"/>
          <w:numId w:val="3"/>
        </w:numPr>
        <w:spacing w:before="120" w:after="120"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Acetilēns – 41L (tilpums), gāzes daudzums 6,9 kg, ¾ collas labā iekšējā vītne (DIN 477 Nr.9);</w:t>
      </w:r>
    </w:p>
    <w:p w:rsidR="00636AF5" w:rsidRPr="009E2833" w:rsidRDefault="008E528F" w:rsidP="009E2833">
      <w:pPr>
        <w:pStyle w:val="ListParagraph"/>
        <w:numPr>
          <w:ilvl w:val="0"/>
          <w:numId w:val="3"/>
        </w:numPr>
        <w:spacing w:before="120" w:after="120"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Skābeklis – 50L/150 (tilpums/spiediens), gāzes daudzums  10.7m³, ¾ collas ārējā vītne (DIN 477 Nr.9);</w:t>
      </w:r>
    </w:p>
    <w:p w:rsidR="00636AF5" w:rsidRPr="009E2833" w:rsidRDefault="008E528F" w:rsidP="009E2833">
      <w:pPr>
        <w:pStyle w:val="ListParagraph"/>
        <w:numPr>
          <w:ilvl w:val="0"/>
          <w:numId w:val="3"/>
        </w:numPr>
        <w:spacing w:before="120" w:after="120"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Propāns – 50L (tilpums), gāzes daudzums 21kg, W21,8x1/14 LH collas kreisā iekšējā vītne;</w:t>
      </w:r>
    </w:p>
    <w:p w:rsidR="00636AF5" w:rsidRPr="009E2833" w:rsidRDefault="008E528F" w:rsidP="009E2833">
      <w:pPr>
        <w:pStyle w:val="ListParagraph"/>
        <w:numPr>
          <w:ilvl w:val="0"/>
          <w:numId w:val="3"/>
        </w:numPr>
        <w:spacing w:before="120" w:after="120"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Oglekļa dioksīds – 40L (tilpums), gāzes daudzums 30kg, ¾ collas ārējā vītne (DIN 477 Nr.9);</w:t>
      </w:r>
    </w:p>
    <w:p w:rsidR="008E528F" w:rsidRPr="009E2833" w:rsidRDefault="008E528F" w:rsidP="009E2833">
      <w:pPr>
        <w:pStyle w:val="ListParagraph"/>
        <w:numPr>
          <w:ilvl w:val="0"/>
          <w:numId w:val="3"/>
        </w:numPr>
        <w:spacing w:before="120" w:after="120"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Aizsarggāze metināšanai (Ar=82% + CO</w:t>
      </w:r>
      <w:r w:rsidRPr="009E2833">
        <w:rPr>
          <w:rFonts w:ascii="Times New Roman" w:eastAsia="Times New Roman" w:hAnsi="Times New Roman"/>
          <w:noProof w:val="0"/>
          <w:sz w:val="24"/>
          <w:szCs w:val="24"/>
          <w:vertAlign w:val="superscript"/>
          <w:lang w:eastAsia="lv-LV"/>
        </w:rPr>
        <w:t>2</w:t>
      </w:r>
      <w:r w:rsidRPr="009E2833">
        <w:rPr>
          <w:rFonts w:ascii="Times New Roman" w:eastAsia="Times New Roman" w:hAnsi="Times New Roman"/>
          <w:noProof w:val="0"/>
          <w:sz w:val="24"/>
          <w:szCs w:val="24"/>
          <w:lang w:eastAsia="lv-LV"/>
        </w:rPr>
        <w:t>=18%) – 50L (tilpums), gāzes daudzums 11,8 m</w:t>
      </w:r>
      <w:r w:rsidRPr="009E2833">
        <w:rPr>
          <w:rFonts w:ascii="Times New Roman" w:eastAsia="Times New Roman" w:hAnsi="Times New Roman"/>
          <w:noProof w:val="0"/>
          <w:sz w:val="24"/>
          <w:szCs w:val="24"/>
          <w:vertAlign w:val="superscript"/>
          <w:lang w:eastAsia="lv-LV"/>
        </w:rPr>
        <w:t>3</w:t>
      </w:r>
      <w:r w:rsidRPr="009E2833">
        <w:rPr>
          <w:rFonts w:ascii="Times New Roman" w:eastAsia="Times New Roman" w:hAnsi="Times New Roman"/>
          <w:noProof w:val="0"/>
          <w:sz w:val="24"/>
          <w:szCs w:val="24"/>
          <w:lang w:eastAsia="lv-LV"/>
        </w:rPr>
        <w:t xml:space="preserve"> – DIN477 Nr.9 (3/4)</w:t>
      </w:r>
      <w:r w:rsidR="00580A7D" w:rsidRPr="009E2833">
        <w:rPr>
          <w:rFonts w:ascii="Times New Roman" w:eastAsia="Times New Roman" w:hAnsi="Times New Roman"/>
          <w:noProof w:val="0"/>
          <w:sz w:val="24"/>
          <w:szCs w:val="24"/>
          <w:lang w:eastAsia="lv-LV"/>
        </w:rPr>
        <w:t>.</w:t>
      </w:r>
    </w:p>
    <w:p w:rsidR="006F439F" w:rsidRPr="008E528F" w:rsidRDefault="008E528F" w:rsidP="009E2833">
      <w:pPr>
        <w:tabs>
          <w:tab w:val="left" w:pos="284"/>
        </w:tabs>
        <w:spacing w:before="100" w:beforeAutospacing="1" w:after="100" w:afterAutospacing="1" w:line="240" w:lineRule="auto"/>
        <w:ind w:firstLine="709"/>
        <w:jc w:val="both"/>
        <w:rPr>
          <w:rFonts w:ascii="Times New Roman" w:eastAsia="Times New Roman" w:hAnsi="Times New Roman"/>
          <w:noProof w:val="0"/>
          <w:sz w:val="24"/>
          <w:szCs w:val="24"/>
          <w:lang w:eastAsia="lv-LV"/>
        </w:rPr>
      </w:pPr>
      <w:r w:rsidRPr="008E528F">
        <w:rPr>
          <w:rFonts w:ascii="Times New Roman" w:eastAsia="Times New Roman" w:hAnsi="Times New Roman"/>
          <w:b/>
          <w:noProof w:val="0"/>
          <w:sz w:val="24"/>
          <w:szCs w:val="24"/>
          <w:lang w:eastAsia="lv-LV"/>
        </w:rPr>
        <w:t>Otrā daļa</w:t>
      </w:r>
      <w:r w:rsidRPr="009E2833">
        <w:rPr>
          <w:rFonts w:ascii="Times New Roman" w:eastAsia="Times New Roman" w:hAnsi="Times New Roman"/>
          <w:b/>
          <w:noProof w:val="0"/>
          <w:sz w:val="24"/>
          <w:szCs w:val="24"/>
          <w:lang w:eastAsia="lv-LV"/>
        </w:rPr>
        <w:t>:</w:t>
      </w:r>
      <w:r w:rsidRPr="008E528F">
        <w:rPr>
          <w:rFonts w:ascii="Times New Roman" w:eastAsia="Times New Roman" w:hAnsi="Times New Roman"/>
          <w:noProof w:val="0"/>
          <w:sz w:val="24"/>
          <w:szCs w:val="24"/>
          <w:lang w:eastAsia="lv-LV"/>
        </w:rPr>
        <w:t xml:space="preserve"> Medicīniskā skābekļa iegāde, piegāde un balonu noma Olaines cietumam (Latvijas </w:t>
      </w:r>
      <w:r w:rsidR="00636AF5">
        <w:rPr>
          <w:rFonts w:ascii="Times New Roman" w:eastAsia="Times New Roman" w:hAnsi="Times New Roman"/>
          <w:noProof w:val="0"/>
          <w:sz w:val="24"/>
          <w:szCs w:val="24"/>
          <w:lang w:eastAsia="lv-LV"/>
        </w:rPr>
        <w:t>C</w:t>
      </w:r>
      <w:r w:rsidRPr="008E528F">
        <w:rPr>
          <w:rFonts w:ascii="Times New Roman" w:eastAsia="Times New Roman" w:hAnsi="Times New Roman"/>
          <w:noProof w:val="0"/>
          <w:sz w:val="24"/>
          <w:szCs w:val="24"/>
          <w:lang w:eastAsia="lv-LV"/>
        </w:rPr>
        <w:t>ietumu slimnīcai):</w:t>
      </w:r>
    </w:p>
    <w:p w:rsidR="008E528F" w:rsidRPr="009E2833" w:rsidRDefault="008E528F" w:rsidP="009E2833">
      <w:pPr>
        <w:pStyle w:val="ListParagraph"/>
        <w:numPr>
          <w:ilvl w:val="0"/>
          <w:numId w:val="4"/>
        </w:numPr>
        <w:tabs>
          <w:tab w:val="left" w:pos="284"/>
        </w:tabs>
        <w:spacing w:before="100" w:beforeAutospacing="1" w:after="100" w:afterAutospacing="1" w:line="240" w:lineRule="auto"/>
        <w:jc w:val="both"/>
        <w:rPr>
          <w:rFonts w:ascii="Times New Roman" w:eastAsia="Times New Roman" w:hAnsi="Times New Roman"/>
          <w:noProof w:val="0"/>
          <w:sz w:val="24"/>
          <w:szCs w:val="24"/>
          <w:lang w:eastAsia="lv-LV"/>
        </w:rPr>
      </w:pPr>
      <w:r w:rsidRPr="009E2833">
        <w:rPr>
          <w:rFonts w:ascii="Times New Roman" w:eastAsia="Times New Roman" w:hAnsi="Times New Roman"/>
          <w:noProof w:val="0"/>
          <w:sz w:val="24"/>
          <w:szCs w:val="24"/>
          <w:lang w:eastAsia="lv-LV"/>
        </w:rPr>
        <w:t>Medicīniskais skābeklis – 2L (tilpums), gāzes daudzums 10,7m3 un 2,5 L (tilpums), gāzes daudzums 0,43 m3 – DIN477 Nr.9 (3/4).</w:t>
      </w:r>
    </w:p>
    <w:p w:rsidR="003E6580" w:rsidRDefault="003E6580" w:rsidP="009E2833">
      <w:pPr>
        <w:tabs>
          <w:tab w:val="left" w:pos="284"/>
        </w:tabs>
        <w:spacing w:before="100" w:beforeAutospacing="1" w:after="100" w:afterAutospacing="1" w:line="240" w:lineRule="auto"/>
        <w:ind w:firstLine="709"/>
        <w:jc w:val="both"/>
        <w:rPr>
          <w:rFonts w:ascii="Times New Roman" w:eastAsia="Times New Roman" w:hAnsi="Times New Roman"/>
          <w:noProof w:val="0"/>
          <w:sz w:val="24"/>
          <w:szCs w:val="24"/>
          <w:lang w:eastAsia="lv-LV"/>
        </w:rPr>
      </w:pPr>
      <w:r>
        <w:rPr>
          <w:rFonts w:ascii="Times New Roman" w:eastAsia="Times New Roman" w:hAnsi="Times New Roman"/>
          <w:noProof w:val="0"/>
          <w:sz w:val="24"/>
          <w:szCs w:val="24"/>
          <w:lang w:eastAsia="lv-LV"/>
        </w:rPr>
        <w:t>I</w:t>
      </w:r>
      <w:r w:rsidRPr="003E6580">
        <w:rPr>
          <w:rFonts w:ascii="Times New Roman" w:eastAsia="Times New Roman" w:hAnsi="Times New Roman"/>
          <w:noProof w:val="0"/>
          <w:sz w:val="24"/>
          <w:szCs w:val="24"/>
          <w:lang w:eastAsia="lv-LV"/>
        </w:rPr>
        <w:t xml:space="preserve">epazīstoties ar pretendentu iesniegtajiem </w:t>
      </w:r>
      <w:r w:rsidR="006F439F">
        <w:rPr>
          <w:rFonts w:ascii="Times New Roman" w:eastAsia="Times New Roman" w:hAnsi="Times New Roman"/>
          <w:noProof w:val="0"/>
          <w:sz w:val="24"/>
          <w:szCs w:val="24"/>
          <w:lang w:eastAsia="lv-LV"/>
        </w:rPr>
        <w:t>t</w:t>
      </w:r>
      <w:r w:rsidR="006F439F" w:rsidRPr="003E6580">
        <w:rPr>
          <w:rFonts w:ascii="Times New Roman" w:eastAsia="Times New Roman" w:hAnsi="Times New Roman"/>
          <w:noProof w:val="0"/>
          <w:sz w:val="24"/>
          <w:szCs w:val="24"/>
          <w:lang w:eastAsia="lv-LV"/>
        </w:rPr>
        <w:t xml:space="preserve">ehniskajiem </w:t>
      </w:r>
      <w:r w:rsidRPr="003E6580">
        <w:rPr>
          <w:rFonts w:ascii="Times New Roman" w:eastAsia="Times New Roman" w:hAnsi="Times New Roman"/>
          <w:noProof w:val="0"/>
          <w:sz w:val="24"/>
          <w:szCs w:val="24"/>
          <w:lang w:eastAsia="lv-LV"/>
        </w:rPr>
        <w:t>piedāvājumiem, secināms, ka pretendentu tehniskā specifikācija atšķiras no izsludinātā Iepirkuma</w:t>
      </w:r>
      <w:r>
        <w:rPr>
          <w:rFonts w:ascii="Times New Roman" w:eastAsia="Times New Roman" w:hAnsi="Times New Roman"/>
          <w:noProof w:val="0"/>
          <w:sz w:val="24"/>
          <w:szCs w:val="24"/>
          <w:lang w:eastAsia="lv-LV"/>
        </w:rPr>
        <w:t xml:space="preserve"> "Tehniskās specifikācijas prasībām."</w:t>
      </w:r>
      <w:r w:rsidR="007E20A5">
        <w:rPr>
          <w:rFonts w:ascii="Times New Roman" w:eastAsia="Times New Roman" w:hAnsi="Times New Roman"/>
          <w:noProof w:val="0"/>
          <w:sz w:val="24"/>
          <w:szCs w:val="24"/>
          <w:lang w:eastAsia="lv-LV"/>
        </w:rPr>
        <w:t>.</w:t>
      </w:r>
    </w:p>
    <w:p w:rsidR="00DE6C26" w:rsidRDefault="00DE6C26" w:rsidP="009E2833">
      <w:pPr>
        <w:tabs>
          <w:tab w:val="left" w:pos="284"/>
        </w:tabs>
        <w:spacing w:before="100" w:beforeAutospacing="1" w:after="100" w:afterAutospacing="1" w:line="240" w:lineRule="auto"/>
        <w:ind w:firstLine="709"/>
        <w:jc w:val="both"/>
        <w:rPr>
          <w:rFonts w:ascii="Times New Roman" w:eastAsia="Times New Roman" w:hAnsi="Times New Roman"/>
          <w:noProof w:val="0"/>
          <w:sz w:val="24"/>
          <w:szCs w:val="24"/>
          <w:lang w:eastAsia="lv-LV"/>
        </w:rPr>
      </w:pPr>
    </w:p>
    <w:p w:rsidR="00DE6C26" w:rsidRDefault="00DE6C26" w:rsidP="009E2833">
      <w:pPr>
        <w:tabs>
          <w:tab w:val="left" w:pos="284"/>
        </w:tabs>
        <w:spacing w:before="100" w:beforeAutospacing="1" w:after="100" w:afterAutospacing="1" w:line="240" w:lineRule="auto"/>
        <w:ind w:firstLine="709"/>
        <w:jc w:val="both"/>
        <w:rPr>
          <w:rFonts w:ascii="Times New Roman" w:eastAsia="Times New Roman" w:hAnsi="Times New Roman"/>
          <w:noProof w:val="0"/>
          <w:sz w:val="24"/>
          <w:szCs w:val="24"/>
          <w:lang w:eastAsia="lv-LV"/>
        </w:rPr>
      </w:pPr>
    </w:p>
    <w:tbl>
      <w:tblPr>
        <w:tblStyle w:val="TableGrid"/>
        <w:tblW w:w="0" w:type="auto"/>
        <w:tblLook w:val="04A0" w:firstRow="1" w:lastRow="0" w:firstColumn="1" w:lastColumn="0" w:noHBand="0" w:noVBand="1"/>
      </w:tblPr>
      <w:tblGrid>
        <w:gridCol w:w="3020"/>
        <w:gridCol w:w="3020"/>
        <w:gridCol w:w="3021"/>
      </w:tblGrid>
      <w:tr w:rsidR="001031D6" w:rsidTr="005815B9">
        <w:tc>
          <w:tcPr>
            <w:tcW w:w="9061" w:type="dxa"/>
            <w:gridSpan w:val="3"/>
          </w:tcPr>
          <w:p w:rsidR="001031D6" w:rsidRDefault="001031D6" w:rsidP="001031D6">
            <w:pPr>
              <w:tabs>
                <w:tab w:val="left" w:pos="284"/>
              </w:tabs>
              <w:spacing w:before="100" w:beforeAutospacing="1" w:after="100" w:afterAutospacing="1" w:line="240" w:lineRule="auto"/>
              <w:jc w:val="center"/>
              <w:rPr>
                <w:rFonts w:ascii="Times New Roman" w:eastAsia="Times New Roman" w:hAnsi="Times New Roman"/>
                <w:noProof w:val="0"/>
                <w:sz w:val="24"/>
                <w:szCs w:val="24"/>
                <w:lang w:eastAsia="lv-LV"/>
              </w:rPr>
            </w:pPr>
            <w:r>
              <w:rPr>
                <w:rFonts w:ascii="Times New Roman" w:eastAsia="Times New Roman" w:hAnsi="Times New Roman"/>
                <w:noProof w:val="0"/>
                <w:sz w:val="24"/>
                <w:szCs w:val="24"/>
                <w:lang w:eastAsia="lv-LV"/>
              </w:rPr>
              <w:t>Tehniskais piedāvājums</w:t>
            </w:r>
          </w:p>
        </w:tc>
      </w:tr>
      <w:tr w:rsidR="001031D6" w:rsidTr="001031D6">
        <w:tc>
          <w:tcPr>
            <w:tcW w:w="3020" w:type="dxa"/>
          </w:tcPr>
          <w:p w:rsidR="001031D6" w:rsidRDefault="001031D6" w:rsidP="001031D6">
            <w:pPr>
              <w:tabs>
                <w:tab w:val="left" w:pos="284"/>
              </w:tabs>
              <w:spacing w:before="100" w:beforeAutospacing="1" w:after="100" w:afterAutospacing="1" w:line="240" w:lineRule="auto"/>
              <w:jc w:val="center"/>
              <w:rPr>
                <w:rFonts w:ascii="Times New Roman" w:eastAsia="Times New Roman" w:hAnsi="Times New Roman"/>
                <w:noProof w:val="0"/>
                <w:sz w:val="24"/>
                <w:szCs w:val="24"/>
                <w:lang w:eastAsia="lv-LV"/>
              </w:rPr>
            </w:pPr>
            <w:r w:rsidRPr="001031D6">
              <w:rPr>
                <w:rFonts w:ascii="Times New Roman" w:eastAsia="Times New Roman" w:hAnsi="Times New Roman"/>
                <w:noProof w:val="0"/>
                <w:sz w:val="24"/>
                <w:szCs w:val="24"/>
                <w:lang w:eastAsia="lv-LV"/>
              </w:rPr>
              <w:t>Nolikuma 1.pielikuma "Tehniskā specifikācija</w:t>
            </w:r>
            <w:r>
              <w:rPr>
                <w:rFonts w:ascii="Times New Roman" w:eastAsia="Times New Roman" w:hAnsi="Times New Roman"/>
                <w:noProof w:val="0"/>
                <w:sz w:val="24"/>
                <w:szCs w:val="24"/>
                <w:lang w:eastAsia="lv-LV"/>
              </w:rPr>
              <w:t>" prasības</w:t>
            </w:r>
          </w:p>
        </w:tc>
        <w:tc>
          <w:tcPr>
            <w:tcW w:w="3020" w:type="dxa"/>
          </w:tcPr>
          <w:p w:rsidR="001031D6" w:rsidRPr="001031D6" w:rsidRDefault="001031D6" w:rsidP="001031D6">
            <w:pPr>
              <w:pStyle w:val="NoSpacing"/>
              <w:jc w:val="center"/>
              <w:rPr>
                <w:rFonts w:ascii="Times New Roman" w:hAnsi="Times New Roman"/>
              </w:rPr>
            </w:pPr>
            <w:r w:rsidRPr="00FC326B">
              <w:rPr>
                <w:rFonts w:ascii="Times New Roman" w:hAnsi="Times New Roman"/>
              </w:rPr>
              <w:t>SIA "AGA"</w:t>
            </w:r>
            <w:r w:rsidR="0021539C">
              <w:rPr>
                <w:rFonts w:ascii="Times New Roman" w:hAnsi="Times New Roman"/>
              </w:rPr>
              <w:t xml:space="preserve"> iesniegtais tehniskais piedāvājums</w:t>
            </w:r>
          </w:p>
        </w:tc>
        <w:tc>
          <w:tcPr>
            <w:tcW w:w="3021" w:type="dxa"/>
          </w:tcPr>
          <w:p w:rsidR="001031D6" w:rsidRDefault="001031D6" w:rsidP="001031D6">
            <w:pPr>
              <w:tabs>
                <w:tab w:val="left" w:pos="284"/>
              </w:tabs>
              <w:spacing w:before="100" w:beforeAutospacing="1" w:after="100" w:afterAutospacing="1" w:line="240" w:lineRule="auto"/>
              <w:jc w:val="center"/>
              <w:rPr>
                <w:rFonts w:ascii="Times New Roman" w:eastAsia="Times New Roman" w:hAnsi="Times New Roman"/>
                <w:noProof w:val="0"/>
                <w:sz w:val="24"/>
                <w:szCs w:val="24"/>
                <w:lang w:eastAsia="lv-LV"/>
              </w:rPr>
            </w:pPr>
            <w:r>
              <w:rPr>
                <w:rFonts w:ascii="Times New Roman" w:eastAsia="Times New Roman" w:hAnsi="Times New Roman"/>
                <w:noProof w:val="0"/>
                <w:sz w:val="24"/>
                <w:szCs w:val="24"/>
                <w:lang w:eastAsia="lv-LV"/>
              </w:rPr>
              <w:t>SIA "GASCHEMA"</w:t>
            </w:r>
            <w:r w:rsidR="0021539C">
              <w:rPr>
                <w:rFonts w:ascii="Times New Roman" w:eastAsia="Times New Roman" w:hAnsi="Times New Roman"/>
                <w:noProof w:val="0"/>
                <w:sz w:val="24"/>
                <w:szCs w:val="24"/>
                <w:lang w:eastAsia="lv-LV"/>
              </w:rPr>
              <w:t xml:space="preserve"> iesniegtais tehniskais piedāvājums</w:t>
            </w:r>
          </w:p>
        </w:tc>
      </w:tr>
      <w:tr w:rsidR="001031D6" w:rsidTr="001031D6">
        <w:tc>
          <w:tcPr>
            <w:tcW w:w="3020" w:type="dxa"/>
          </w:tcPr>
          <w:p w:rsidR="001031D6" w:rsidRDefault="001031D6" w:rsidP="009E2833">
            <w:pPr>
              <w:tabs>
                <w:tab w:val="left" w:pos="284"/>
              </w:tabs>
              <w:spacing w:before="100" w:beforeAutospacing="1" w:after="100" w:afterAutospacing="1" w:line="240" w:lineRule="auto"/>
              <w:jc w:val="both"/>
              <w:rPr>
                <w:rFonts w:ascii="Times New Roman" w:eastAsia="Times New Roman" w:hAnsi="Times New Roman"/>
                <w:noProof w:val="0"/>
                <w:sz w:val="24"/>
                <w:szCs w:val="24"/>
                <w:lang w:eastAsia="lv-LV"/>
              </w:rPr>
            </w:pPr>
            <w:r w:rsidRPr="001031D6">
              <w:rPr>
                <w:rFonts w:ascii="Times New Roman" w:eastAsia="Times New Roman" w:hAnsi="Times New Roman"/>
                <w:noProof w:val="0"/>
                <w:sz w:val="24"/>
                <w:szCs w:val="24"/>
                <w:lang w:eastAsia="lv-LV"/>
              </w:rPr>
              <w:t>Acetilēns – 41L (tilpums), gāzes daudzums 6,9 kg, ¾ collas labā iekšējā vītne (DIN 477 Nr.9);</w:t>
            </w:r>
          </w:p>
        </w:tc>
        <w:tc>
          <w:tcPr>
            <w:tcW w:w="3020" w:type="dxa"/>
          </w:tcPr>
          <w:p w:rsidR="001031D6" w:rsidRDefault="001031D6" w:rsidP="001031D6">
            <w:pPr>
              <w:tabs>
                <w:tab w:val="left" w:pos="284"/>
              </w:tabs>
              <w:spacing w:before="100" w:beforeAutospacing="1" w:after="100" w:afterAutospacing="1" w:line="240" w:lineRule="auto"/>
              <w:jc w:val="both"/>
              <w:rPr>
                <w:rFonts w:ascii="Times New Roman" w:eastAsia="Times New Roman" w:hAnsi="Times New Roman"/>
                <w:noProof w:val="0"/>
                <w:sz w:val="24"/>
                <w:szCs w:val="24"/>
                <w:lang w:eastAsia="lv-LV"/>
              </w:rPr>
            </w:pPr>
            <w:r w:rsidRPr="001031D6">
              <w:rPr>
                <w:rFonts w:ascii="Times New Roman" w:eastAsia="Times New Roman" w:hAnsi="Times New Roman"/>
                <w:noProof w:val="0"/>
                <w:sz w:val="24"/>
                <w:szCs w:val="24"/>
                <w:lang w:eastAsia="lv-LV"/>
              </w:rPr>
              <w:t xml:space="preserve">Acetilēns – 41L (tilpums), gāzes daudzums </w:t>
            </w:r>
            <w:r>
              <w:rPr>
                <w:rFonts w:ascii="Times New Roman" w:eastAsia="Times New Roman" w:hAnsi="Times New Roman"/>
                <w:noProof w:val="0"/>
                <w:sz w:val="24"/>
                <w:szCs w:val="24"/>
                <w:lang w:eastAsia="lv-LV"/>
              </w:rPr>
              <w:t>7,8</w:t>
            </w:r>
            <w:r w:rsidRPr="001031D6">
              <w:rPr>
                <w:rFonts w:ascii="Times New Roman" w:eastAsia="Times New Roman" w:hAnsi="Times New Roman"/>
                <w:noProof w:val="0"/>
                <w:sz w:val="24"/>
                <w:szCs w:val="24"/>
                <w:lang w:eastAsia="lv-LV"/>
              </w:rPr>
              <w:t xml:space="preserve"> kg,</w:t>
            </w:r>
            <w:r>
              <w:rPr>
                <w:rFonts w:ascii="Times New Roman" w:eastAsia="Times New Roman" w:hAnsi="Times New Roman"/>
                <w:noProof w:val="0"/>
                <w:sz w:val="24"/>
                <w:szCs w:val="24"/>
                <w:lang w:eastAsia="lv-LV"/>
              </w:rPr>
              <w:t xml:space="preserve"> R</w:t>
            </w:r>
            <w:r w:rsidRPr="001031D6">
              <w:rPr>
                <w:rFonts w:ascii="Times New Roman" w:eastAsia="Times New Roman" w:hAnsi="Times New Roman"/>
                <w:noProof w:val="0"/>
                <w:sz w:val="24"/>
                <w:szCs w:val="24"/>
                <w:lang w:eastAsia="lv-LV"/>
              </w:rPr>
              <w:t xml:space="preserve"> ¾ </w:t>
            </w:r>
            <w:r>
              <w:rPr>
                <w:rFonts w:ascii="Times New Roman" w:eastAsia="Times New Roman" w:hAnsi="Times New Roman"/>
                <w:noProof w:val="0"/>
                <w:sz w:val="24"/>
                <w:szCs w:val="24"/>
                <w:lang w:eastAsia="lv-LV"/>
              </w:rPr>
              <w:t>labā iekšējā vītne (DIN 477 Nr.12</w:t>
            </w:r>
            <w:r w:rsidRPr="001031D6">
              <w:rPr>
                <w:rFonts w:ascii="Times New Roman" w:eastAsia="Times New Roman" w:hAnsi="Times New Roman"/>
                <w:noProof w:val="0"/>
                <w:sz w:val="24"/>
                <w:szCs w:val="24"/>
                <w:lang w:eastAsia="lv-LV"/>
              </w:rPr>
              <w:t>);</w:t>
            </w:r>
          </w:p>
        </w:tc>
        <w:tc>
          <w:tcPr>
            <w:tcW w:w="3021" w:type="dxa"/>
          </w:tcPr>
          <w:p w:rsidR="001031D6" w:rsidRDefault="001031D6" w:rsidP="001031D6">
            <w:pPr>
              <w:tabs>
                <w:tab w:val="left" w:pos="284"/>
              </w:tabs>
              <w:spacing w:before="100" w:beforeAutospacing="1" w:after="100" w:afterAutospacing="1" w:line="240" w:lineRule="auto"/>
              <w:jc w:val="both"/>
              <w:rPr>
                <w:rFonts w:ascii="Times New Roman" w:eastAsia="Times New Roman" w:hAnsi="Times New Roman"/>
                <w:noProof w:val="0"/>
                <w:sz w:val="24"/>
                <w:szCs w:val="24"/>
                <w:lang w:eastAsia="lv-LV"/>
              </w:rPr>
            </w:pPr>
            <w:r w:rsidRPr="001031D6">
              <w:rPr>
                <w:rFonts w:ascii="Times New Roman" w:eastAsia="Times New Roman" w:hAnsi="Times New Roman"/>
                <w:noProof w:val="0"/>
                <w:sz w:val="24"/>
                <w:szCs w:val="24"/>
                <w:lang w:eastAsia="lv-LV"/>
              </w:rPr>
              <w:t xml:space="preserve">Acetilēns – 41L (tilpums), gāzes daudzums </w:t>
            </w:r>
            <w:r>
              <w:rPr>
                <w:rFonts w:ascii="Times New Roman" w:eastAsia="Times New Roman" w:hAnsi="Times New Roman"/>
                <w:noProof w:val="0"/>
                <w:sz w:val="24"/>
                <w:szCs w:val="24"/>
                <w:lang w:eastAsia="lv-LV"/>
              </w:rPr>
              <w:t>8</w:t>
            </w:r>
            <w:r w:rsidRPr="001031D6">
              <w:rPr>
                <w:rFonts w:ascii="Times New Roman" w:eastAsia="Times New Roman" w:hAnsi="Times New Roman"/>
                <w:noProof w:val="0"/>
                <w:sz w:val="24"/>
                <w:szCs w:val="24"/>
                <w:lang w:eastAsia="lv-LV"/>
              </w:rPr>
              <w:t xml:space="preserve"> kg, ¾ labā iekšējā vītne </w:t>
            </w:r>
          </w:p>
        </w:tc>
      </w:tr>
    </w:tbl>
    <w:p w:rsidR="001031D6" w:rsidRDefault="00736599" w:rsidP="009E2833">
      <w:pPr>
        <w:tabs>
          <w:tab w:val="left" w:pos="284"/>
        </w:tabs>
        <w:spacing w:before="100" w:beforeAutospacing="1" w:after="100" w:afterAutospacing="1" w:line="240" w:lineRule="auto"/>
        <w:ind w:firstLine="709"/>
        <w:jc w:val="both"/>
        <w:rPr>
          <w:rFonts w:ascii="Times New Roman" w:eastAsia="Times New Roman" w:hAnsi="Times New Roman"/>
          <w:noProof w:val="0"/>
          <w:sz w:val="24"/>
          <w:szCs w:val="24"/>
          <w:lang w:eastAsia="lv-LV"/>
        </w:rPr>
      </w:pPr>
      <w:r>
        <w:rPr>
          <w:rFonts w:ascii="Times New Roman" w:eastAsia="Times New Roman" w:hAnsi="Times New Roman"/>
          <w:noProof w:val="0"/>
          <w:sz w:val="24"/>
          <w:szCs w:val="24"/>
          <w:lang w:eastAsia="lv-LV"/>
        </w:rPr>
        <w:t xml:space="preserve">Likuma 9. panta </w:t>
      </w:r>
      <w:r w:rsidR="00003671">
        <w:rPr>
          <w:rFonts w:ascii="Times New Roman" w:eastAsia="Times New Roman" w:hAnsi="Times New Roman"/>
          <w:noProof w:val="0"/>
          <w:sz w:val="24"/>
          <w:szCs w:val="24"/>
          <w:lang w:eastAsia="lv-LV"/>
        </w:rPr>
        <w:t xml:space="preserve">trīspadsmitā </w:t>
      </w:r>
      <w:r>
        <w:rPr>
          <w:rFonts w:ascii="Times New Roman" w:eastAsia="Times New Roman" w:hAnsi="Times New Roman"/>
          <w:noProof w:val="0"/>
          <w:sz w:val="24"/>
          <w:szCs w:val="24"/>
          <w:lang w:eastAsia="lv-LV"/>
        </w:rPr>
        <w:t>daļ</w:t>
      </w:r>
      <w:r w:rsidR="00003671">
        <w:rPr>
          <w:rFonts w:ascii="Times New Roman" w:eastAsia="Times New Roman" w:hAnsi="Times New Roman"/>
          <w:noProof w:val="0"/>
          <w:sz w:val="24"/>
          <w:szCs w:val="24"/>
          <w:lang w:eastAsia="lv-LV"/>
        </w:rPr>
        <w:t>a</w:t>
      </w:r>
      <w:r>
        <w:rPr>
          <w:rFonts w:ascii="Times New Roman" w:eastAsia="Times New Roman" w:hAnsi="Times New Roman"/>
          <w:noProof w:val="0"/>
          <w:sz w:val="24"/>
          <w:szCs w:val="24"/>
          <w:lang w:eastAsia="lv-LV"/>
        </w:rPr>
        <w:t xml:space="preserve"> noteic, ka "</w:t>
      </w:r>
      <w:r w:rsidRPr="00736599">
        <w:rPr>
          <w:rFonts w:ascii="Times New Roman" w:hAnsi="Times New Roman"/>
          <w:sz w:val="24"/>
          <w:szCs w:val="24"/>
        </w:rPr>
        <w:t xml:space="preserve">Iepirkuma komisija par uzvarētāju iepirkumā atzīst pretendentu, kurš izraudzīts atbilstoši </w:t>
      </w:r>
      <w:r w:rsidRPr="00736599">
        <w:rPr>
          <w:rFonts w:ascii="Times New Roman" w:hAnsi="Times New Roman"/>
          <w:b/>
          <w:sz w:val="24"/>
          <w:szCs w:val="24"/>
        </w:rPr>
        <w:t>iepirkuma nolikumā noteiktajām prasībām</w:t>
      </w:r>
      <w:r w:rsidRPr="00736599">
        <w:rPr>
          <w:rFonts w:ascii="Times New Roman" w:hAnsi="Times New Roman"/>
          <w:sz w:val="24"/>
          <w:szCs w:val="24"/>
        </w:rPr>
        <w:t xml:space="preserve"> un kritērijiem un nav izslēdzams no dalības iepirkumā saskaņā ar šā panta astoto daļu.</w:t>
      </w:r>
      <w:r>
        <w:rPr>
          <w:rFonts w:ascii="Times New Roman" w:eastAsia="Times New Roman" w:hAnsi="Times New Roman"/>
          <w:noProof w:val="0"/>
          <w:sz w:val="24"/>
          <w:szCs w:val="24"/>
          <w:lang w:eastAsia="lv-LV"/>
        </w:rPr>
        <w:t>".</w:t>
      </w:r>
    </w:p>
    <w:p w:rsidR="006C071E" w:rsidRPr="009E2833" w:rsidRDefault="006C071E" w:rsidP="009E2833">
      <w:pPr>
        <w:pStyle w:val="BodyTextIndent2"/>
        <w:spacing w:before="120" w:after="120"/>
        <w:ind w:firstLine="709"/>
        <w:rPr>
          <w:bCs/>
          <w:sz w:val="24"/>
          <w:lang w:val="lv-LV" w:eastAsia="lv-LV"/>
        </w:rPr>
      </w:pPr>
      <w:r w:rsidRPr="006C071E">
        <w:rPr>
          <w:bCs/>
          <w:sz w:val="24"/>
          <w:lang w:eastAsia="lv-LV"/>
        </w:rPr>
        <w:t xml:space="preserve">Ņemot vērā iepriekš minēto un to, ka piedāvājums Iepirkumam neatbilst </w:t>
      </w:r>
      <w:r w:rsidR="006F439F">
        <w:rPr>
          <w:bCs/>
          <w:sz w:val="24"/>
          <w:lang w:val="lv-LV" w:eastAsia="lv-LV"/>
        </w:rPr>
        <w:t>N</w:t>
      </w:r>
      <w:r w:rsidRPr="006C071E">
        <w:rPr>
          <w:bCs/>
          <w:sz w:val="24"/>
          <w:lang w:eastAsia="lv-LV"/>
        </w:rPr>
        <w:t xml:space="preserve">olikuma </w:t>
      </w:r>
      <w:r w:rsidR="009755D7">
        <w:rPr>
          <w:bCs/>
          <w:sz w:val="24"/>
          <w:lang w:val="lv-LV" w:eastAsia="lv-LV"/>
        </w:rPr>
        <w:t xml:space="preserve">1.pielikuma </w:t>
      </w:r>
      <w:r w:rsidRPr="006C071E">
        <w:rPr>
          <w:bCs/>
          <w:sz w:val="24"/>
          <w:lang w:eastAsia="lv-LV"/>
        </w:rPr>
        <w:t>prasībām, Iepirkumu komisija nolemj pārtraukt Iepirkumu un ierosināt sarunu procedūru par Iepirkuma priekšmetu, nosūtot uzaicinājumu piedalīties sarunās Iepirkumā piedāvājum</w:t>
      </w:r>
      <w:r w:rsidR="0072571F">
        <w:rPr>
          <w:bCs/>
          <w:sz w:val="24"/>
          <w:lang w:val="lv-LV" w:eastAsia="lv-LV"/>
        </w:rPr>
        <w:t>us</w:t>
      </w:r>
      <w:r w:rsidRPr="006C071E">
        <w:rPr>
          <w:bCs/>
          <w:sz w:val="24"/>
          <w:lang w:eastAsia="lv-LV"/>
        </w:rPr>
        <w:t xml:space="preserve"> </w:t>
      </w:r>
      <w:r w:rsidR="006F439F" w:rsidRPr="006C071E">
        <w:rPr>
          <w:bCs/>
          <w:sz w:val="24"/>
          <w:lang w:eastAsia="lv-LV"/>
        </w:rPr>
        <w:t>iesniegušaj</w:t>
      </w:r>
      <w:r w:rsidR="006F439F">
        <w:rPr>
          <w:bCs/>
          <w:sz w:val="24"/>
          <w:lang w:val="lv-LV" w:eastAsia="lv-LV"/>
        </w:rPr>
        <w:t>iem</w:t>
      </w:r>
      <w:r w:rsidRPr="006C071E">
        <w:rPr>
          <w:bCs/>
          <w:sz w:val="24"/>
          <w:lang w:eastAsia="lv-LV"/>
        </w:rPr>
        <w:t xml:space="preserve"> </w:t>
      </w:r>
      <w:r w:rsidR="0072571F">
        <w:rPr>
          <w:bCs/>
          <w:sz w:val="24"/>
          <w:lang w:eastAsia="lv-LV"/>
        </w:rPr>
        <w:t>pretendentie</w:t>
      </w:r>
      <w:r w:rsidRPr="006C071E">
        <w:rPr>
          <w:bCs/>
          <w:sz w:val="24"/>
          <w:lang w:eastAsia="lv-LV"/>
        </w:rPr>
        <w:t>m.</w:t>
      </w:r>
    </w:p>
    <w:p w:rsidR="006C071E" w:rsidRDefault="006C071E" w:rsidP="006C071E">
      <w:pPr>
        <w:pStyle w:val="BodyTextIndent2"/>
        <w:spacing w:before="120" w:after="120"/>
        <w:ind w:right="-1" w:firstLine="709"/>
        <w:rPr>
          <w:b/>
          <w:bCs/>
          <w:sz w:val="24"/>
          <w:lang w:eastAsia="lv-LV"/>
        </w:rPr>
      </w:pPr>
    </w:p>
    <w:p w:rsidR="009E2833" w:rsidRDefault="009E2833" w:rsidP="006C071E">
      <w:pPr>
        <w:pStyle w:val="BodyTextIndent2"/>
        <w:spacing w:before="120" w:after="120"/>
        <w:ind w:right="-1" w:firstLine="709"/>
        <w:rPr>
          <w:b/>
          <w:bCs/>
          <w:sz w:val="24"/>
          <w:lang w:eastAsia="lv-LV"/>
        </w:rPr>
      </w:pPr>
    </w:p>
    <w:p w:rsidR="009E2833" w:rsidRPr="009755D7" w:rsidRDefault="009E2833" w:rsidP="006C071E">
      <w:pPr>
        <w:pStyle w:val="BodyTextIndent2"/>
        <w:spacing w:before="120" w:after="120"/>
        <w:ind w:right="-1" w:firstLine="709"/>
        <w:rPr>
          <w:b/>
          <w:bCs/>
          <w:sz w:val="24"/>
          <w:lang w:eastAsia="lv-LV"/>
        </w:rPr>
      </w:pPr>
    </w:p>
    <w:p w:rsidR="006C071E" w:rsidRPr="009755D7" w:rsidRDefault="006C071E" w:rsidP="006C071E">
      <w:pPr>
        <w:pStyle w:val="BodyTextIndent2"/>
        <w:spacing w:before="120" w:after="120"/>
        <w:ind w:right="-1" w:firstLine="709"/>
        <w:rPr>
          <w:b/>
          <w:bCs/>
          <w:sz w:val="24"/>
          <w:lang w:eastAsia="lv-LV"/>
        </w:rPr>
      </w:pPr>
      <w:r w:rsidRPr="009755D7">
        <w:rPr>
          <w:b/>
          <w:bCs/>
          <w:sz w:val="24"/>
          <w:lang w:eastAsia="lv-LV"/>
        </w:rPr>
        <w:t>Iepirkumu komisijas lēmums:</w:t>
      </w:r>
    </w:p>
    <w:p w:rsidR="006C071E" w:rsidRPr="006C071E" w:rsidRDefault="006C071E" w:rsidP="006C071E">
      <w:pPr>
        <w:pStyle w:val="BodyTextIndent2"/>
        <w:spacing w:before="120" w:after="120"/>
        <w:ind w:right="-1" w:firstLine="709"/>
        <w:rPr>
          <w:bCs/>
          <w:sz w:val="24"/>
          <w:lang w:eastAsia="lv-LV"/>
        </w:rPr>
      </w:pPr>
      <w:r w:rsidRPr="006C071E">
        <w:rPr>
          <w:bCs/>
          <w:sz w:val="24"/>
          <w:lang w:eastAsia="lv-LV"/>
        </w:rPr>
        <w:t xml:space="preserve">1. Pārtraukt Pārvaldes </w:t>
      </w:r>
      <w:r w:rsidR="006F439F">
        <w:rPr>
          <w:bCs/>
          <w:sz w:val="24"/>
          <w:lang w:val="lv-LV" w:eastAsia="lv-LV"/>
        </w:rPr>
        <w:t>I</w:t>
      </w:r>
      <w:r w:rsidR="00DE6C26" w:rsidRPr="006C071E">
        <w:rPr>
          <w:bCs/>
          <w:sz w:val="24"/>
          <w:lang w:eastAsia="lv-LV"/>
        </w:rPr>
        <w:t>epirkumu</w:t>
      </w:r>
      <w:r w:rsidRPr="006C071E">
        <w:rPr>
          <w:bCs/>
          <w:sz w:val="24"/>
          <w:lang w:eastAsia="lv-LV"/>
        </w:rPr>
        <w:t>.</w:t>
      </w:r>
    </w:p>
    <w:p w:rsidR="006C071E" w:rsidRPr="006C071E" w:rsidRDefault="006C071E" w:rsidP="006C071E">
      <w:pPr>
        <w:pStyle w:val="BodyTextIndent2"/>
        <w:spacing w:before="120" w:after="120"/>
        <w:ind w:right="-1" w:firstLine="709"/>
        <w:rPr>
          <w:bCs/>
          <w:sz w:val="24"/>
          <w:lang w:eastAsia="lv-LV"/>
        </w:rPr>
      </w:pPr>
      <w:r w:rsidRPr="006C071E">
        <w:rPr>
          <w:bCs/>
          <w:sz w:val="24"/>
          <w:lang w:eastAsia="lv-LV"/>
        </w:rPr>
        <w:t>2. Saskaņā ar Likuma 9. panta četrpadsmitās daļas nosacījumiem informēt pretendentu par Iepirkumu komisijas lēmuma 1.punktā norādīto 3 (triju) darbdienu laikā pēc Iepirkumu komisijas lēmuma pieņemšanas.</w:t>
      </w:r>
    </w:p>
    <w:p w:rsidR="006C071E" w:rsidRPr="006C071E" w:rsidRDefault="006C071E" w:rsidP="006C071E">
      <w:pPr>
        <w:pStyle w:val="BodyTextIndent2"/>
        <w:spacing w:before="120" w:after="120"/>
        <w:ind w:right="-1" w:firstLine="709"/>
        <w:rPr>
          <w:bCs/>
          <w:sz w:val="24"/>
          <w:lang w:eastAsia="lv-LV"/>
        </w:rPr>
      </w:pPr>
      <w:r w:rsidRPr="006C071E">
        <w:rPr>
          <w:bCs/>
          <w:sz w:val="24"/>
          <w:lang w:eastAsia="lv-LV"/>
        </w:rPr>
        <w:t>3. Ierosināt sarunu procedūru par Iepirkuma priekšmetu, nosūtot uzaicinājumu piedalīties sarunās Iepirkumā piedāvājuma iesniegušajam pretendentam.</w:t>
      </w:r>
    </w:p>
    <w:p w:rsidR="00E51F30" w:rsidRDefault="00E51F30" w:rsidP="00DB18B0">
      <w:pPr>
        <w:spacing w:after="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DC1417">
        <w:rPr>
          <w:rFonts w:ascii="Times New Roman" w:hAnsi="Times New Roman"/>
          <w:noProof w:val="0"/>
          <w:sz w:val="24"/>
          <w:szCs w:val="24"/>
        </w:rPr>
        <w:t>.</w:t>
      </w:r>
      <w:r w:rsidR="00DC1417">
        <w:rPr>
          <w:rFonts w:ascii="Times New Roman" w:hAnsi="Times New Roman"/>
          <w:noProof w:val="0"/>
          <w:sz w:val="24"/>
          <w:szCs w:val="24"/>
        </w:rPr>
        <w:t>10:30</w:t>
      </w:r>
      <w:r w:rsidR="00DC1417">
        <w:rPr>
          <w:rFonts w:ascii="Times New Roman" w:hAnsi="Times New Roman"/>
          <w:noProof w:val="0"/>
          <w:sz w:val="24"/>
          <w:szCs w:val="24"/>
        </w:rPr>
        <w:t>.</w:t>
      </w:r>
    </w:p>
    <w:p w:rsidR="00A27439" w:rsidRDefault="00A27439" w:rsidP="00DB18B0">
      <w:pPr>
        <w:spacing w:after="0" w:line="240" w:lineRule="auto"/>
        <w:jc w:val="both"/>
        <w:rPr>
          <w:rFonts w:ascii="Times New Roman" w:hAnsi="Times New Roman"/>
          <w:noProof w:val="0"/>
          <w:sz w:val="24"/>
          <w:szCs w:val="24"/>
        </w:rPr>
      </w:pPr>
    </w:p>
    <w:p w:rsidR="00AE3F47" w:rsidRDefault="00F71FE6" w:rsidP="00DB18B0">
      <w:pPr>
        <w:spacing w:after="0" w:line="24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26F53" w:rsidRPr="00BE11BD" w:rsidRDefault="00C26F53" w:rsidP="00DB18B0">
      <w:pPr>
        <w:spacing w:after="0" w:line="240" w:lineRule="auto"/>
        <w:ind w:right="-1"/>
        <w:rPr>
          <w:rFonts w:ascii="Times New Roman" w:hAnsi="Times New Roman"/>
          <w:sz w:val="24"/>
          <w:szCs w:val="24"/>
        </w:rPr>
      </w:pPr>
    </w:p>
    <w:p w:rsidR="00F71FE6" w:rsidRDefault="00F71FE6" w:rsidP="00281B58">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sidR="0004378B" w:rsidRPr="0004378B">
        <w:rPr>
          <w:rFonts w:ascii="Times New Roman" w:eastAsia="Times New Roman" w:hAnsi="Times New Roman"/>
          <w:noProof w:val="0"/>
          <w:sz w:val="24"/>
          <w:szCs w:val="24"/>
        </w:rPr>
        <w:t>J. Baranova</w:t>
      </w:r>
    </w:p>
    <w:p w:rsidR="00C26F53" w:rsidRDefault="00C26F53" w:rsidP="00281B58">
      <w:pPr>
        <w:tabs>
          <w:tab w:val="right" w:pos="9639"/>
        </w:tabs>
        <w:spacing w:after="0" w:line="240" w:lineRule="auto"/>
        <w:rPr>
          <w:rFonts w:ascii="Times New Roman" w:eastAsia="Times New Roman" w:hAnsi="Times New Roman"/>
          <w:noProof w:val="0"/>
          <w:sz w:val="24"/>
          <w:szCs w:val="24"/>
        </w:rPr>
      </w:pPr>
    </w:p>
    <w:p w:rsidR="00AE3F47" w:rsidRPr="00BE11BD" w:rsidRDefault="00AE3F47" w:rsidP="00281B58">
      <w:pPr>
        <w:tabs>
          <w:tab w:val="right" w:pos="9639"/>
        </w:tabs>
        <w:spacing w:after="0" w:line="240" w:lineRule="auto"/>
        <w:rPr>
          <w:rFonts w:ascii="Times New Roman" w:eastAsia="Times New Roman" w:hAnsi="Times New Roman"/>
          <w:noProof w:val="0"/>
          <w:sz w:val="24"/>
          <w:szCs w:val="24"/>
        </w:rPr>
      </w:pPr>
    </w:p>
    <w:p w:rsidR="00535CBB" w:rsidRDefault="00F71FE6" w:rsidP="00DB18B0">
      <w:pPr>
        <w:tabs>
          <w:tab w:val="right" w:pos="9639"/>
        </w:tabs>
        <w:spacing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C26F53" w:rsidRDefault="00C26F53" w:rsidP="00DB18B0">
      <w:pPr>
        <w:tabs>
          <w:tab w:val="right" w:pos="9639"/>
        </w:tabs>
        <w:spacing w:after="0" w:line="240" w:lineRule="auto"/>
        <w:jc w:val="right"/>
        <w:rPr>
          <w:rFonts w:ascii="Times New Roman" w:eastAsia="Times New Roman" w:hAnsi="Times New Roman"/>
          <w:noProof w:val="0"/>
          <w:sz w:val="24"/>
          <w:szCs w:val="24"/>
        </w:rPr>
      </w:pPr>
    </w:p>
    <w:p w:rsidR="00AE3F47" w:rsidRDefault="00597987" w:rsidP="00DB18B0">
      <w:pPr>
        <w:tabs>
          <w:tab w:val="right" w:pos="9639"/>
        </w:tabs>
        <w:spacing w:after="0" w:line="240" w:lineRule="auto"/>
        <w:jc w:val="right"/>
        <w:rPr>
          <w:rFonts w:ascii="Times New Roman" w:eastAsia="Times New Roman" w:hAnsi="Times New Roman"/>
          <w:noProof w:val="0"/>
          <w:sz w:val="24"/>
          <w:szCs w:val="24"/>
        </w:rPr>
      </w:pPr>
      <w:r w:rsidRPr="009E2833">
        <w:rPr>
          <w:rFonts w:ascii="Times New Roman" w:eastAsia="Times New Roman" w:hAnsi="Times New Roman"/>
          <w:noProof w:val="0"/>
          <w:sz w:val="24"/>
          <w:szCs w:val="24"/>
        </w:rPr>
        <w:t>I.</w:t>
      </w:r>
      <w:r w:rsidR="00DF2AB8" w:rsidRPr="009E2833">
        <w:rPr>
          <w:rFonts w:ascii="Times New Roman" w:eastAsia="Times New Roman" w:hAnsi="Times New Roman"/>
          <w:noProof w:val="0"/>
          <w:sz w:val="24"/>
          <w:szCs w:val="24"/>
        </w:rPr>
        <w:t xml:space="preserve"> </w:t>
      </w:r>
      <w:r w:rsidRPr="009E2833">
        <w:rPr>
          <w:rFonts w:ascii="Times New Roman" w:eastAsia="Times New Roman" w:hAnsi="Times New Roman"/>
          <w:noProof w:val="0"/>
          <w:sz w:val="24"/>
          <w:szCs w:val="24"/>
        </w:rPr>
        <w:t>Kafijatullovs</w:t>
      </w:r>
    </w:p>
    <w:p w:rsidR="00597987" w:rsidRDefault="00597987" w:rsidP="00DB18B0">
      <w:pPr>
        <w:tabs>
          <w:tab w:val="right" w:pos="9639"/>
        </w:tabs>
        <w:spacing w:after="0" w:line="240" w:lineRule="auto"/>
        <w:jc w:val="right"/>
        <w:rPr>
          <w:rFonts w:ascii="Times New Roman" w:eastAsia="Times New Roman" w:hAnsi="Times New Roman"/>
          <w:noProof w:val="0"/>
          <w:sz w:val="24"/>
          <w:szCs w:val="24"/>
        </w:rPr>
      </w:pPr>
    </w:p>
    <w:p w:rsidR="00AB46E5" w:rsidRDefault="0004378B" w:rsidP="00DB18B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O.</w:t>
      </w:r>
      <w:r w:rsidR="00DF2AB8">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Sparāne</w:t>
      </w:r>
    </w:p>
    <w:p w:rsidR="00AE3F47" w:rsidRDefault="00AE3F47" w:rsidP="00DB18B0">
      <w:pPr>
        <w:tabs>
          <w:tab w:val="right" w:pos="9639"/>
        </w:tabs>
        <w:spacing w:after="0" w:line="240" w:lineRule="auto"/>
        <w:jc w:val="right"/>
        <w:rPr>
          <w:rFonts w:ascii="Times New Roman" w:eastAsia="Times New Roman" w:hAnsi="Times New Roman"/>
          <w:noProof w:val="0"/>
          <w:sz w:val="24"/>
          <w:szCs w:val="24"/>
        </w:rPr>
      </w:pP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D13473" w:rsidRDefault="00D13473" w:rsidP="00DB18B0">
      <w:pPr>
        <w:tabs>
          <w:tab w:val="right" w:pos="9639"/>
        </w:tabs>
        <w:spacing w:after="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w:t>
      </w:r>
      <w:r w:rsidR="00DF2AB8">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Mazlazdiņa</w:t>
      </w:r>
    </w:p>
    <w:sectPr w:rsidR="00D13473" w:rsidSect="00DB18B0">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BCD" w:rsidRDefault="009B4BCD" w:rsidP="00171A05">
      <w:pPr>
        <w:spacing w:after="0" w:line="240" w:lineRule="auto"/>
      </w:pPr>
      <w:r>
        <w:separator/>
      </w:r>
    </w:p>
  </w:endnote>
  <w:endnote w:type="continuationSeparator" w:id="0">
    <w:p w:rsidR="009B4BCD" w:rsidRDefault="009B4BCD"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BCD" w:rsidRDefault="009B4BCD" w:rsidP="00171A05">
      <w:pPr>
        <w:spacing w:after="0" w:line="240" w:lineRule="auto"/>
      </w:pPr>
      <w:r>
        <w:separator/>
      </w:r>
    </w:p>
  </w:footnote>
  <w:footnote w:type="continuationSeparator" w:id="0">
    <w:p w:rsidR="009B4BCD" w:rsidRDefault="009B4BCD"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E128DB">
          <w:rPr>
            <w:rFonts w:ascii="Times New Roman" w:hAnsi="Times New Roman"/>
          </w:rPr>
          <w:t>2</w:t>
        </w:r>
        <w:r w:rsidRPr="00171A0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82790"/>
    <w:multiLevelType w:val="hybridMultilevel"/>
    <w:tmpl w:val="E55465EE"/>
    <w:lvl w:ilvl="0" w:tplc="04260001">
      <w:start w:val="1"/>
      <w:numFmt w:val="bullet"/>
      <w:lvlText w:val=""/>
      <w:lvlJc w:val="left"/>
      <w:pPr>
        <w:tabs>
          <w:tab w:val="num" w:pos="1800"/>
        </w:tabs>
        <w:ind w:left="1800" w:hanging="360"/>
      </w:pPr>
      <w:rPr>
        <w:rFonts w:ascii="Symbol" w:hAnsi="Symbol" w:hint="default"/>
      </w:rPr>
    </w:lvl>
    <w:lvl w:ilvl="1" w:tplc="04260003" w:tentative="1">
      <w:start w:val="1"/>
      <w:numFmt w:val="bullet"/>
      <w:lvlText w:val="o"/>
      <w:lvlJc w:val="left"/>
      <w:pPr>
        <w:tabs>
          <w:tab w:val="num" w:pos="2520"/>
        </w:tabs>
        <w:ind w:left="2520" w:hanging="360"/>
      </w:pPr>
      <w:rPr>
        <w:rFonts w:ascii="Courier New" w:hAnsi="Courier New" w:cs="Courier New" w:hint="default"/>
      </w:rPr>
    </w:lvl>
    <w:lvl w:ilvl="2" w:tplc="04260005" w:tentative="1">
      <w:start w:val="1"/>
      <w:numFmt w:val="bullet"/>
      <w:lvlText w:val=""/>
      <w:lvlJc w:val="left"/>
      <w:pPr>
        <w:tabs>
          <w:tab w:val="num" w:pos="3240"/>
        </w:tabs>
        <w:ind w:left="3240" w:hanging="360"/>
      </w:pPr>
      <w:rPr>
        <w:rFonts w:ascii="Wingdings" w:hAnsi="Wingdings" w:hint="default"/>
      </w:rPr>
    </w:lvl>
    <w:lvl w:ilvl="3" w:tplc="04260001" w:tentative="1">
      <w:start w:val="1"/>
      <w:numFmt w:val="bullet"/>
      <w:lvlText w:val=""/>
      <w:lvlJc w:val="left"/>
      <w:pPr>
        <w:tabs>
          <w:tab w:val="num" w:pos="3960"/>
        </w:tabs>
        <w:ind w:left="3960" w:hanging="360"/>
      </w:pPr>
      <w:rPr>
        <w:rFonts w:ascii="Symbol" w:hAnsi="Symbol" w:hint="default"/>
      </w:rPr>
    </w:lvl>
    <w:lvl w:ilvl="4" w:tplc="04260003" w:tentative="1">
      <w:start w:val="1"/>
      <w:numFmt w:val="bullet"/>
      <w:lvlText w:val="o"/>
      <w:lvlJc w:val="left"/>
      <w:pPr>
        <w:tabs>
          <w:tab w:val="num" w:pos="4680"/>
        </w:tabs>
        <w:ind w:left="4680" w:hanging="360"/>
      </w:pPr>
      <w:rPr>
        <w:rFonts w:ascii="Courier New" w:hAnsi="Courier New" w:cs="Courier New" w:hint="default"/>
      </w:rPr>
    </w:lvl>
    <w:lvl w:ilvl="5" w:tplc="04260005" w:tentative="1">
      <w:start w:val="1"/>
      <w:numFmt w:val="bullet"/>
      <w:lvlText w:val=""/>
      <w:lvlJc w:val="left"/>
      <w:pPr>
        <w:tabs>
          <w:tab w:val="num" w:pos="5400"/>
        </w:tabs>
        <w:ind w:left="5400" w:hanging="360"/>
      </w:pPr>
      <w:rPr>
        <w:rFonts w:ascii="Wingdings" w:hAnsi="Wingdings" w:hint="default"/>
      </w:rPr>
    </w:lvl>
    <w:lvl w:ilvl="6" w:tplc="04260001" w:tentative="1">
      <w:start w:val="1"/>
      <w:numFmt w:val="bullet"/>
      <w:lvlText w:val=""/>
      <w:lvlJc w:val="left"/>
      <w:pPr>
        <w:tabs>
          <w:tab w:val="num" w:pos="6120"/>
        </w:tabs>
        <w:ind w:left="6120" w:hanging="360"/>
      </w:pPr>
      <w:rPr>
        <w:rFonts w:ascii="Symbol" w:hAnsi="Symbol" w:hint="default"/>
      </w:rPr>
    </w:lvl>
    <w:lvl w:ilvl="7" w:tplc="04260003" w:tentative="1">
      <w:start w:val="1"/>
      <w:numFmt w:val="bullet"/>
      <w:lvlText w:val="o"/>
      <w:lvlJc w:val="left"/>
      <w:pPr>
        <w:tabs>
          <w:tab w:val="num" w:pos="6840"/>
        </w:tabs>
        <w:ind w:left="6840" w:hanging="360"/>
      </w:pPr>
      <w:rPr>
        <w:rFonts w:ascii="Courier New" w:hAnsi="Courier New" w:cs="Courier New" w:hint="default"/>
      </w:rPr>
    </w:lvl>
    <w:lvl w:ilvl="8" w:tplc="0426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00E15D6"/>
    <w:multiLevelType w:val="hybridMultilevel"/>
    <w:tmpl w:val="D496F578"/>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 w15:restartNumberingAfterBreak="0">
    <w:nsid w:val="21DC1F0B"/>
    <w:multiLevelType w:val="hybridMultilevel"/>
    <w:tmpl w:val="599E7C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3" w15:restartNumberingAfterBreak="0">
    <w:nsid w:val="561227BC"/>
    <w:multiLevelType w:val="hybridMultilevel"/>
    <w:tmpl w:val="1A800E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671"/>
    <w:rsid w:val="00007E83"/>
    <w:rsid w:val="00023B33"/>
    <w:rsid w:val="000256BE"/>
    <w:rsid w:val="00031A6F"/>
    <w:rsid w:val="00034850"/>
    <w:rsid w:val="00037BA9"/>
    <w:rsid w:val="0004378B"/>
    <w:rsid w:val="00044324"/>
    <w:rsid w:val="0004464F"/>
    <w:rsid w:val="00054351"/>
    <w:rsid w:val="00060216"/>
    <w:rsid w:val="000639FE"/>
    <w:rsid w:val="00065320"/>
    <w:rsid w:val="00071A38"/>
    <w:rsid w:val="000848CF"/>
    <w:rsid w:val="0009491B"/>
    <w:rsid w:val="00096D05"/>
    <w:rsid w:val="000A6CFF"/>
    <w:rsid w:val="000B05A2"/>
    <w:rsid w:val="000D2BCC"/>
    <w:rsid w:val="000D3C7B"/>
    <w:rsid w:val="000D6B2C"/>
    <w:rsid w:val="000E2764"/>
    <w:rsid w:val="000F4896"/>
    <w:rsid w:val="000F4C97"/>
    <w:rsid w:val="000F5F5C"/>
    <w:rsid w:val="000F7091"/>
    <w:rsid w:val="000F7230"/>
    <w:rsid w:val="0010081A"/>
    <w:rsid w:val="001031D6"/>
    <w:rsid w:val="00105617"/>
    <w:rsid w:val="0011657D"/>
    <w:rsid w:val="00116B93"/>
    <w:rsid w:val="0012230E"/>
    <w:rsid w:val="001249EA"/>
    <w:rsid w:val="001266F9"/>
    <w:rsid w:val="00134B72"/>
    <w:rsid w:val="001436C7"/>
    <w:rsid w:val="00144B61"/>
    <w:rsid w:val="00154DE1"/>
    <w:rsid w:val="001558C2"/>
    <w:rsid w:val="0015652F"/>
    <w:rsid w:val="00171A05"/>
    <w:rsid w:val="00172851"/>
    <w:rsid w:val="00190BEA"/>
    <w:rsid w:val="001A2BEE"/>
    <w:rsid w:val="001A5B62"/>
    <w:rsid w:val="001A68B2"/>
    <w:rsid w:val="001B0083"/>
    <w:rsid w:val="001B6239"/>
    <w:rsid w:val="001B6491"/>
    <w:rsid w:val="001C2D47"/>
    <w:rsid w:val="001C3910"/>
    <w:rsid w:val="001F0D8D"/>
    <w:rsid w:val="001F38A5"/>
    <w:rsid w:val="002010C7"/>
    <w:rsid w:val="00203771"/>
    <w:rsid w:val="0021539C"/>
    <w:rsid w:val="00225133"/>
    <w:rsid w:val="00225E1B"/>
    <w:rsid w:val="00231E4C"/>
    <w:rsid w:val="00232CF2"/>
    <w:rsid w:val="00236C3F"/>
    <w:rsid w:val="00246568"/>
    <w:rsid w:val="002512A2"/>
    <w:rsid w:val="00251A89"/>
    <w:rsid w:val="00255EC5"/>
    <w:rsid w:val="0027290C"/>
    <w:rsid w:val="00274165"/>
    <w:rsid w:val="002809BA"/>
    <w:rsid w:val="00281B58"/>
    <w:rsid w:val="00287FDC"/>
    <w:rsid w:val="002923E2"/>
    <w:rsid w:val="00297CF4"/>
    <w:rsid w:val="002A0B1F"/>
    <w:rsid w:val="002A1596"/>
    <w:rsid w:val="002A56B7"/>
    <w:rsid w:val="002A7D94"/>
    <w:rsid w:val="002B326B"/>
    <w:rsid w:val="002B4E75"/>
    <w:rsid w:val="002B5AEC"/>
    <w:rsid w:val="002C27AF"/>
    <w:rsid w:val="002E258A"/>
    <w:rsid w:val="002E4526"/>
    <w:rsid w:val="002E45F2"/>
    <w:rsid w:val="002E6825"/>
    <w:rsid w:val="00303AA1"/>
    <w:rsid w:val="003060BC"/>
    <w:rsid w:val="003160D9"/>
    <w:rsid w:val="0031693D"/>
    <w:rsid w:val="00325166"/>
    <w:rsid w:val="003264CA"/>
    <w:rsid w:val="00332A9A"/>
    <w:rsid w:val="00336CB0"/>
    <w:rsid w:val="00336D10"/>
    <w:rsid w:val="00337270"/>
    <w:rsid w:val="003451DB"/>
    <w:rsid w:val="00345924"/>
    <w:rsid w:val="00352323"/>
    <w:rsid w:val="00354487"/>
    <w:rsid w:val="0036640B"/>
    <w:rsid w:val="00371B01"/>
    <w:rsid w:val="0037280A"/>
    <w:rsid w:val="00375738"/>
    <w:rsid w:val="003766FE"/>
    <w:rsid w:val="00382415"/>
    <w:rsid w:val="00385FF6"/>
    <w:rsid w:val="00394C0A"/>
    <w:rsid w:val="003A5688"/>
    <w:rsid w:val="003A7685"/>
    <w:rsid w:val="003C06BE"/>
    <w:rsid w:val="003C0FD1"/>
    <w:rsid w:val="003C7D9D"/>
    <w:rsid w:val="003D32F1"/>
    <w:rsid w:val="003D666A"/>
    <w:rsid w:val="003E6580"/>
    <w:rsid w:val="003F6065"/>
    <w:rsid w:val="00407C5A"/>
    <w:rsid w:val="00410ACD"/>
    <w:rsid w:val="004247A9"/>
    <w:rsid w:val="00437C46"/>
    <w:rsid w:val="00441204"/>
    <w:rsid w:val="00456C0E"/>
    <w:rsid w:val="0047120F"/>
    <w:rsid w:val="0047199F"/>
    <w:rsid w:val="004729F3"/>
    <w:rsid w:val="00496312"/>
    <w:rsid w:val="00497D52"/>
    <w:rsid w:val="004A2482"/>
    <w:rsid w:val="004B53C7"/>
    <w:rsid w:val="004B53DD"/>
    <w:rsid w:val="004C056B"/>
    <w:rsid w:val="004C5646"/>
    <w:rsid w:val="004C7732"/>
    <w:rsid w:val="004D10A9"/>
    <w:rsid w:val="004D2FB6"/>
    <w:rsid w:val="004E3098"/>
    <w:rsid w:val="004E7408"/>
    <w:rsid w:val="004E754C"/>
    <w:rsid w:val="004E7A39"/>
    <w:rsid w:val="004F17C6"/>
    <w:rsid w:val="004F2C5C"/>
    <w:rsid w:val="004F2E0B"/>
    <w:rsid w:val="004F74D7"/>
    <w:rsid w:val="00501DBD"/>
    <w:rsid w:val="00503C2A"/>
    <w:rsid w:val="00506F52"/>
    <w:rsid w:val="00510614"/>
    <w:rsid w:val="005217CE"/>
    <w:rsid w:val="005227D5"/>
    <w:rsid w:val="00524A1C"/>
    <w:rsid w:val="00531EE8"/>
    <w:rsid w:val="00535CBB"/>
    <w:rsid w:val="00536BA0"/>
    <w:rsid w:val="005471AA"/>
    <w:rsid w:val="0055276E"/>
    <w:rsid w:val="005531D8"/>
    <w:rsid w:val="00570B29"/>
    <w:rsid w:val="00572201"/>
    <w:rsid w:val="00573F3A"/>
    <w:rsid w:val="00576F77"/>
    <w:rsid w:val="005802DF"/>
    <w:rsid w:val="00580A7D"/>
    <w:rsid w:val="0058257D"/>
    <w:rsid w:val="00583079"/>
    <w:rsid w:val="00583CC6"/>
    <w:rsid w:val="00596CA1"/>
    <w:rsid w:val="00597987"/>
    <w:rsid w:val="005B068E"/>
    <w:rsid w:val="005C0FB4"/>
    <w:rsid w:val="005C4292"/>
    <w:rsid w:val="005C7319"/>
    <w:rsid w:val="005D3147"/>
    <w:rsid w:val="005E24A4"/>
    <w:rsid w:val="005E29E0"/>
    <w:rsid w:val="005E3DB9"/>
    <w:rsid w:val="005E7680"/>
    <w:rsid w:val="005F44E2"/>
    <w:rsid w:val="00602BE2"/>
    <w:rsid w:val="006036A7"/>
    <w:rsid w:val="006133E8"/>
    <w:rsid w:val="00623F55"/>
    <w:rsid w:val="006261D1"/>
    <w:rsid w:val="00627305"/>
    <w:rsid w:val="00635FB9"/>
    <w:rsid w:val="006363D8"/>
    <w:rsid w:val="00636AF5"/>
    <w:rsid w:val="00640378"/>
    <w:rsid w:val="006423CD"/>
    <w:rsid w:val="00650B91"/>
    <w:rsid w:val="0065185B"/>
    <w:rsid w:val="00664819"/>
    <w:rsid w:val="00665E18"/>
    <w:rsid w:val="00675AA3"/>
    <w:rsid w:val="0068256C"/>
    <w:rsid w:val="006865B2"/>
    <w:rsid w:val="00692717"/>
    <w:rsid w:val="00696F14"/>
    <w:rsid w:val="006979ED"/>
    <w:rsid w:val="006A2203"/>
    <w:rsid w:val="006A2AEB"/>
    <w:rsid w:val="006A4BAB"/>
    <w:rsid w:val="006B1155"/>
    <w:rsid w:val="006C06EC"/>
    <w:rsid w:val="006C071E"/>
    <w:rsid w:val="006C2E86"/>
    <w:rsid w:val="006C7519"/>
    <w:rsid w:val="006D5B98"/>
    <w:rsid w:val="006F439F"/>
    <w:rsid w:val="00700F2B"/>
    <w:rsid w:val="00707C2A"/>
    <w:rsid w:val="0071608A"/>
    <w:rsid w:val="0072548A"/>
    <w:rsid w:val="0072571F"/>
    <w:rsid w:val="00727E59"/>
    <w:rsid w:val="007312BD"/>
    <w:rsid w:val="00736599"/>
    <w:rsid w:val="00741CAE"/>
    <w:rsid w:val="00742F2D"/>
    <w:rsid w:val="00754D77"/>
    <w:rsid w:val="007576A8"/>
    <w:rsid w:val="00764F6D"/>
    <w:rsid w:val="007672A0"/>
    <w:rsid w:val="00786F63"/>
    <w:rsid w:val="00791EC2"/>
    <w:rsid w:val="0079397E"/>
    <w:rsid w:val="00796711"/>
    <w:rsid w:val="007A00E2"/>
    <w:rsid w:val="007A22A5"/>
    <w:rsid w:val="007A4DA6"/>
    <w:rsid w:val="007A63A2"/>
    <w:rsid w:val="007B361F"/>
    <w:rsid w:val="007D7429"/>
    <w:rsid w:val="007D7C3E"/>
    <w:rsid w:val="007E20A5"/>
    <w:rsid w:val="007E4942"/>
    <w:rsid w:val="007F021C"/>
    <w:rsid w:val="00804062"/>
    <w:rsid w:val="0080572B"/>
    <w:rsid w:val="00806EBD"/>
    <w:rsid w:val="008106F6"/>
    <w:rsid w:val="00813ADC"/>
    <w:rsid w:val="00820985"/>
    <w:rsid w:val="00830050"/>
    <w:rsid w:val="0084016A"/>
    <w:rsid w:val="00840413"/>
    <w:rsid w:val="00851565"/>
    <w:rsid w:val="00860F66"/>
    <w:rsid w:val="0087188D"/>
    <w:rsid w:val="00875C12"/>
    <w:rsid w:val="008771BD"/>
    <w:rsid w:val="008912E2"/>
    <w:rsid w:val="00895D5E"/>
    <w:rsid w:val="008A3110"/>
    <w:rsid w:val="008C73F8"/>
    <w:rsid w:val="008D1B00"/>
    <w:rsid w:val="008D57C0"/>
    <w:rsid w:val="008E528F"/>
    <w:rsid w:val="008F0AB4"/>
    <w:rsid w:val="008F4AF2"/>
    <w:rsid w:val="0090115C"/>
    <w:rsid w:val="0090795E"/>
    <w:rsid w:val="00911727"/>
    <w:rsid w:val="00913E15"/>
    <w:rsid w:val="00914150"/>
    <w:rsid w:val="00922904"/>
    <w:rsid w:val="0093566E"/>
    <w:rsid w:val="00944D3E"/>
    <w:rsid w:val="00957D9D"/>
    <w:rsid w:val="009755D7"/>
    <w:rsid w:val="00982667"/>
    <w:rsid w:val="00985DF8"/>
    <w:rsid w:val="00990977"/>
    <w:rsid w:val="009973FB"/>
    <w:rsid w:val="009A2E32"/>
    <w:rsid w:val="009A379E"/>
    <w:rsid w:val="009A4776"/>
    <w:rsid w:val="009B3AE6"/>
    <w:rsid w:val="009B4BCD"/>
    <w:rsid w:val="009B5B8F"/>
    <w:rsid w:val="009D1D6A"/>
    <w:rsid w:val="009D657B"/>
    <w:rsid w:val="009E0AFC"/>
    <w:rsid w:val="009E2833"/>
    <w:rsid w:val="009E34FC"/>
    <w:rsid w:val="009E553F"/>
    <w:rsid w:val="009E6140"/>
    <w:rsid w:val="009F1E6B"/>
    <w:rsid w:val="009F3D95"/>
    <w:rsid w:val="00A02733"/>
    <w:rsid w:val="00A1043E"/>
    <w:rsid w:val="00A16B08"/>
    <w:rsid w:val="00A27439"/>
    <w:rsid w:val="00A43A30"/>
    <w:rsid w:val="00A462FF"/>
    <w:rsid w:val="00A5080F"/>
    <w:rsid w:val="00A603FA"/>
    <w:rsid w:val="00A6535F"/>
    <w:rsid w:val="00A654FC"/>
    <w:rsid w:val="00A66E17"/>
    <w:rsid w:val="00A721DD"/>
    <w:rsid w:val="00A76FBB"/>
    <w:rsid w:val="00A80547"/>
    <w:rsid w:val="00A813BC"/>
    <w:rsid w:val="00A81AAA"/>
    <w:rsid w:val="00A90B1D"/>
    <w:rsid w:val="00A9753A"/>
    <w:rsid w:val="00AA159A"/>
    <w:rsid w:val="00AA67CF"/>
    <w:rsid w:val="00AB46E5"/>
    <w:rsid w:val="00AB6BA3"/>
    <w:rsid w:val="00AC7280"/>
    <w:rsid w:val="00AE3F47"/>
    <w:rsid w:val="00AF23E5"/>
    <w:rsid w:val="00B012CC"/>
    <w:rsid w:val="00B1418F"/>
    <w:rsid w:val="00B15DB0"/>
    <w:rsid w:val="00B21823"/>
    <w:rsid w:val="00B2386C"/>
    <w:rsid w:val="00B23FC3"/>
    <w:rsid w:val="00B335EA"/>
    <w:rsid w:val="00B44057"/>
    <w:rsid w:val="00B514FB"/>
    <w:rsid w:val="00B60813"/>
    <w:rsid w:val="00B61282"/>
    <w:rsid w:val="00B7287D"/>
    <w:rsid w:val="00B73099"/>
    <w:rsid w:val="00B759C7"/>
    <w:rsid w:val="00B857E8"/>
    <w:rsid w:val="00B90BAE"/>
    <w:rsid w:val="00B9303C"/>
    <w:rsid w:val="00BA670B"/>
    <w:rsid w:val="00BC21A1"/>
    <w:rsid w:val="00BC63AD"/>
    <w:rsid w:val="00BE02A2"/>
    <w:rsid w:val="00BE2516"/>
    <w:rsid w:val="00BE4F2B"/>
    <w:rsid w:val="00BF05C1"/>
    <w:rsid w:val="00BF757C"/>
    <w:rsid w:val="00C10C12"/>
    <w:rsid w:val="00C14DAC"/>
    <w:rsid w:val="00C26F53"/>
    <w:rsid w:val="00C27291"/>
    <w:rsid w:val="00C32088"/>
    <w:rsid w:val="00C33230"/>
    <w:rsid w:val="00C422E5"/>
    <w:rsid w:val="00C55A8C"/>
    <w:rsid w:val="00C619B1"/>
    <w:rsid w:val="00C63B94"/>
    <w:rsid w:val="00C73F42"/>
    <w:rsid w:val="00C813B9"/>
    <w:rsid w:val="00C90319"/>
    <w:rsid w:val="00C916C9"/>
    <w:rsid w:val="00C9496F"/>
    <w:rsid w:val="00C94C78"/>
    <w:rsid w:val="00CB594F"/>
    <w:rsid w:val="00CC3E84"/>
    <w:rsid w:val="00CD20E0"/>
    <w:rsid w:val="00CD2FB4"/>
    <w:rsid w:val="00CD4035"/>
    <w:rsid w:val="00CD52A3"/>
    <w:rsid w:val="00CE0B27"/>
    <w:rsid w:val="00CE638C"/>
    <w:rsid w:val="00CF086C"/>
    <w:rsid w:val="00CF32E5"/>
    <w:rsid w:val="00D07A63"/>
    <w:rsid w:val="00D113A6"/>
    <w:rsid w:val="00D11A9E"/>
    <w:rsid w:val="00D13473"/>
    <w:rsid w:val="00D14FBE"/>
    <w:rsid w:val="00D158FC"/>
    <w:rsid w:val="00D32CF0"/>
    <w:rsid w:val="00D365F3"/>
    <w:rsid w:val="00D5469A"/>
    <w:rsid w:val="00D602E9"/>
    <w:rsid w:val="00D6299F"/>
    <w:rsid w:val="00D64078"/>
    <w:rsid w:val="00D70E46"/>
    <w:rsid w:val="00D80967"/>
    <w:rsid w:val="00D841B9"/>
    <w:rsid w:val="00D93DD1"/>
    <w:rsid w:val="00D93F84"/>
    <w:rsid w:val="00D95E96"/>
    <w:rsid w:val="00DA2C51"/>
    <w:rsid w:val="00DA6352"/>
    <w:rsid w:val="00DB18B0"/>
    <w:rsid w:val="00DC1417"/>
    <w:rsid w:val="00DD0C89"/>
    <w:rsid w:val="00DD1046"/>
    <w:rsid w:val="00DD2E0F"/>
    <w:rsid w:val="00DD5686"/>
    <w:rsid w:val="00DD5B1D"/>
    <w:rsid w:val="00DD6C73"/>
    <w:rsid w:val="00DE11DA"/>
    <w:rsid w:val="00DE4A02"/>
    <w:rsid w:val="00DE61BD"/>
    <w:rsid w:val="00DE6C26"/>
    <w:rsid w:val="00DF15AB"/>
    <w:rsid w:val="00DF2AB8"/>
    <w:rsid w:val="00E105EF"/>
    <w:rsid w:val="00E128DB"/>
    <w:rsid w:val="00E225FB"/>
    <w:rsid w:val="00E2436B"/>
    <w:rsid w:val="00E3430A"/>
    <w:rsid w:val="00E47AD4"/>
    <w:rsid w:val="00E51F30"/>
    <w:rsid w:val="00E54DDC"/>
    <w:rsid w:val="00E554E7"/>
    <w:rsid w:val="00E62D2F"/>
    <w:rsid w:val="00E64420"/>
    <w:rsid w:val="00E7063E"/>
    <w:rsid w:val="00E722F8"/>
    <w:rsid w:val="00E753D5"/>
    <w:rsid w:val="00E75F0E"/>
    <w:rsid w:val="00E85BA4"/>
    <w:rsid w:val="00E87D97"/>
    <w:rsid w:val="00E94349"/>
    <w:rsid w:val="00EA4A58"/>
    <w:rsid w:val="00EB2652"/>
    <w:rsid w:val="00EC6DFA"/>
    <w:rsid w:val="00ED556B"/>
    <w:rsid w:val="00EE336D"/>
    <w:rsid w:val="00EE36BB"/>
    <w:rsid w:val="00EE4F6A"/>
    <w:rsid w:val="00EE7332"/>
    <w:rsid w:val="00EF2F27"/>
    <w:rsid w:val="00EF479B"/>
    <w:rsid w:val="00EF56D3"/>
    <w:rsid w:val="00F0586E"/>
    <w:rsid w:val="00F06580"/>
    <w:rsid w:val="00F14AB6"/>
    <w:rsid w:val="00F157B1"/>
    <w:rsid w:val="00F21268"/>
    <w:rsid w:val="00F313AC"/>
    <w:rsid w:val="00F36122"/>
    <w:rsid w:val="00F4203A"/>
    <w:rsid w:val="00F45963"/>
    <w:rsid w:val="00F47867"/>
    <w:rsid w:val="00F5507C"/>
    <w:rsid w:val="00F602F9"/>
    <w:rsid w:val="00F71FE6"/>
    <w:rsid w:val="00F73CC4"/>
    <w:rsid w:val="00F74984"/>
    <w:rsid w:val="00F74A77"/>
    <w:rsid w:val="00F83EE9"/>
    <w:rsid w:val="00F8445B"/>
    <w:rsid w:val="00FA27E8"/>
    <w:rsid w:val="00FA657C"/>
    <w:rsid w:val="00FB04F4"/>
    <w:rsid w:val="00FB220D"/>
    <w:rsid w:val="00FB6BA0"/>
    <w:rsid w:val="00FC0A9F"/>
    <w:rsid w:val="00FC16AF"/>
    <w:rsid w:val="00FC326B"/>
    <w:rsid w:val="00FC3DE5"/>
    <w:rsid w:val="00FC7368"/>
    <w:rsid w:val="00FD57BE"/>
    <w:rsid w:val="00FD6CDD"/>
    <w:rsid w:val="00FE307B"/>
    <w:rsid w:val="00FE3109"/>
    <w:rsid w:val="00FE6E7B"/>
    <w:rsid w:val="00FE715F"/>
    <w:rsid w:val="00FF43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C31A70E"/>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1D6"/>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 w:type="paragraph" w:styleId="Revision">
    <w:name w:val="Revision"/>
    <w:hidden/>
    <w:uiPriority w:val="99"/>
    <w:semiHidden/>
    <w:rsid w:val="00944D3E"/>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B97BE-C4FB-4916-B012-B6C944278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7535</Words>
  <Characters>4296</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3</cp:revision>
  <cp:lastPrinted>2018-07-19T06:46:00Z</cp:lastPrinted>
  <dcterms:created xsi:type="dcterms:W3CDTF">2018-07-19T06:44:00Z</dcterms:created>
  <dcterms:modified xsi:type="dcterms:W3CDTF">2018-07-19T10:47:00Z</dcterms:modified>
</cp:coreProperties>
</file>